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8325E" w14:textId="29B66B6C" w:rsidR="0074696E" w:rsidRPr="00280C4B" w:rsidRDefault="00B95AB9" w:rsidP="00BB7640">
      <w:pPr>
        <w:pStyle w:val="Heading2"/>
      </w:pPr>
      <w:bookmarkStart w:id="0" w:name="_Toc141344173"/>
      <w:r w:rsidRPr="00280C4B">
        <w:rPr>
          <w:noProof/>
        </w:rPr>
        <w:drawing>
          <wp:anchor distT="0" distB="0" distL="114300" distR="114300" simplePos="0" relativeHeight="251658240" behindDoc="1" locked="1" layoutInCell="1" allowOverlap="1" wp14:anchorId="5643E9A5" wp14:editId="75C99A20">
            <wp:simplePos x="0" y="0"/>
            <wp:positionH relativeFrom="page">
              <wp:posOffset>0</wp:posOffset>
            </wp:positionH>
            <wp:positionV relativeFrom="page">
              <wp:posOffset>0</wp:posOffset>
            </wp:positionV>
            <wp:extent cx="7563600" cy="2070720"/>
            <wp:effectExtent l="0" t="0" r="0" b="635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a:stretch>
                      <a:fillRect/>
                    </a:stretch>
                  </pic:blipFill>
                  <pic:spPr>
                    <a:xfrm>
                      <a:off x="0" y="0"/>
                      <a:ext cx="7563600" cy="2070720"/>
                    </a:xfrm>
                    <a:prstGeom prst="rect">
                      <a:avLst/>
                    </a:prstGeom>
                  </pic:spPr>
                </pic:pic>
              </a:graphicData>
            </a:graphic>
            <wp14:sizeRelH relativeFrom="margin">
              <wp14:pctWidth>0</wp14:pctWidth>
            </wp14:sizeRelH>
            <wp14:sizeRelV relativeFrom="margin">
              <wp14:pctHeight>0</wp14:pctHeight>
            </wp14:sizeRelV>
          </wp:anchor>
        </w:drawing>
      </w:r>
      <w:bookmarkEnd w:id="0"/>
    </w:p>
    <w:p w14:paraId="22A124A1" w14:textId="77777777" w:rsidR="00A62D44" w:rsidRPr="00280C4B" w:rsidRDefault="00A62D44" w:rsidP="00280C4B">
      <w:pPr>
        <w:pStyle w:val="Sectionbreakfirstpage"/>
        <w:sectPr w:rsidR="00A62D44" w:rsidRPr="00280C4B" w:rsidSect="003D1DFF">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134" w:left="851" w:header="340" w:footer="567" w:gutter="0"/>
          <w:pgNumType w:start="0"/>
          <w:cols w:space="708"/>
          <w:titlePg/>
          <w:docGrid w:linePitch="360"/>
        </w:sectPr>
      </w:pPr>
    </w:p>
    <w:tbl>
      <w:tblPr>
        <w:tblStyle w:val="TableGrid"/>
        <w:tblW w:w="76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655"/>
      </w:tblGrid>
      <w:tr w:rsidR="00AD784C" w14:paraId="765659DC" w14:textId="77777777" w:rsidTr="00C567A8">
        <w:trPr>
          <w:trHeight w:val="1418"/>
        </w:trPr>
        <w:tc>
          <w:tcPr>
            <w:tcW w:w="7655" w:type="dxa"/>
            <w:vAlign w:val="bottom"/>
          </w:tcPr>
          <w:p w14:paraId="1B06FE4C" w14:textId="7C0640BA" w:rsidR="00AD784C" w:rsidRPr="0009050A" w:rsidRDefault="00B43588" w:rsidP="00177DA1">
            <w:pPr>
              <w:pStyle w:val="Documenttitle"/>
            </w:pPr>
            <w:r>
              <w:t>Performance for selected measures</w:t>
            </w:r>
            <w:r w:rsidR="00177DA1">
              <w:br/>
            </w:r>
            <w:r>
              <w:t>2022–23 financial year</w:t>
            </w:r>
          </w:p>
        </w:tc>
      </w:tr>
      <w:tr w:rsidR="000B2117" w14:paraId="5DF317EC" w14:textId="77777777" w:rsidTr="00C567A8">
        <w:trPr>
          <w:trHeight w:val="763"/>
        </w:trPr>
        <w:tc>
          <w:tcPr>
            <w:tcW w:w="7655" w:type="dxa"/>
          </w:tcPr>
          <w:p w14:paraId="69C24C39" w14:textId="01480550" w:rsidR="000B2117" w:rsidRPr="0016037B" w:rsidRDefault="00F713C3" w:rsidP="0016037B">
            <w:pPr>
              <w:pStyle w:val="Documentsubtitle"/>
            </w:pPr>
            <w:r w:rsidRPr="00F713C3">
              <w:t>Child Protection and Family Services</w:t>
            </w:r>
          </w:p>
        </w:tc>
      </w:tr>
    </w:tbl>
    <w:p w14:paraId="1AAB2C94" w14:textId="33D9DB4B" w:rsidR="00C567A8" w:rsidRDefault="00C567A8" w:rsidP="00C567A8">
      <w:pPr>
        <w:pStyle w:val="TOCheadingfactsheet"/>
        <w:spacing w:before="0" w:after="0"/>
        <w:rPr>
          <w:sz w:val="20"/>
          <w:szCs w:val="18"/>
        </w:rPr>
      </w:pPr>
      <w:r w:rsidRPr="00C567A8">
        <w:rPr>
          <w:sz w:val="20"/>
          <w:szCs w:val="18"/>
        </w:rPr>
        <w:fldChar w:fldCharType="begin"/>
      </w:r>
      <w:r w:rsidRPr="00C567A8">
        <w:rPr>
          <w:sz w:val="20"/>
          <w:szCs w:val="18"/>
        </w:rPr>
        <w:instrText>FILLIN  "Type the protective marking" \d OFFICIAL \o  \* MERGEFORMAT</w:instrText>
      </w:r>
      <w:r w:rsidRPr="00C567A8">
        <w:rPr>
          <w:sz w:val="20"/>
          <w:szCs w:val="18"/>
        </w:rPr>
        <w:fldChar w:fldCharType="separate"/>
      </w:r>
      <w:r w:rsidRPr="00C567A8">
        <w:rPr>
          <w:sz w:val="20"/>
          <w:szCs w:val="18"/>
        </w:rPr>
        <w:t>OFFICIAL</w:t>
      </w:r>
      <w:r w:rsidRPr="00C567A8">
        <w:rPr>
          <w:sz w:val="20"/>
          <w:szCs w:val="18"/>
        </w:rPr>
        <w:fldChar w:fldCharType="end"/>
      </w:r>
    </w:p>
    <w:p w14:paraId="59111484" w14:textId="6762D876" w:rsidR="00C567A8" w:rsidRPr="005518B7" w:rsidRDefault="00C567A8" w:rsidP="00C567A8">
      <w:pPr>
        <w:pStyle w:val="TOCheadingfactsheet"/>
        <w:rPr>
          <w:b w:val="0"/>
          <w:bCs/>
        </w:rPr>
      </w:pPr>
      <w:r w:rsidRPr="005518B7">
        <w:rPr>
          <w:b w:val="0"/>
          <w:bCs/>
        </w:rPr>
        <w:t>Contents</w:t>
      </w:r>
    </w:p>
    <w:p w14:paraId="043CE1C1" w14:textId="03474F0B" w:rsidR="00555FD2" w:rsidRPr="001734CE" w:rsidRDefault="00C567A8" w:rsidP="00E43E40">
      <w:pPr>
        <w:pStyle w:val="TOC2"/>
        <w:rPr>
          <w:rFonts w:asciiTheme="minorHAnsi" w:eastAsiaTheme="minorEastAsia" w:hAnsiTheme="minorHAnsi" w:cstheme="minorBidi"/>
          <w:b/>
          <w:sz w:val="22"/>
          <w:szCs w:val="22"/>
          <w:lang w:eastAsia="en-AU"/>
        </w:rPr>
      </w:pPr>
      <w:r w:rsidRPr="005518B7">
        <w:rPr>
          <w:rFonts w:eastAsia="Times"/>
          <w:b/>
        </w:rPr>
        <w:fldChar w:fldCharType="begin"/>
      </w:r>
      <w:r>
        <w:instrText xml:space="preserve"> TOC \h \z \t "Heading 1,1,Heading 2,2" </w:instrText>
      </w:r>
      <w:r w:rsidRPr="005518B7">
        <w:rPr>
          <w:rFonts w:eastAsia="Times"/>
          <w:b/>
        </w:rPr>
        <w:fldChar w:fldCharType="separate"/>
      </w:r>
      <w:hyperlink w:anchor="_Toc141344174" w:history="1">
        <w:r w:rsidR="00555FD2" w:rsidRPr="001734CE">
          <w:rPr>
            <w:rStyle w:val="Hyperlink"/>
            <w:b/>
          </w:rPr>
          <w:t>Reports to child protection services about the wellbeing and safety of children</w:t>
        </w:r>
        <w:r w:rsidR="00555FD2" w:rsidRPr="001734CE">
          <w:rPr>
            <w:b/>
            <w:webHidden/>
          </w:rPr>
          <w:tab/>
        </w:r>
        <w:r w:rsidR="00555FD2" w:rsidRPr="001734CE">
          <w:rPr>
            <w:b/>
            <w:webHidden/>
          </w:rPr>
          <w:fldChar w:fldCharType="begin"/>
        </w:r>
        <w:r w:rsidR="00555FD2" w:rsidRPr="001734CE">
          <w:rPr>
            <w:b/>
            <w:webHidden/>
          </w:rPr>
          <w:instrText xml:space="preserve"> PAGEREF _Toc141344174 \h </w:instrText>
        </w:r>
        <w:r w:rsidR="00555FD2" w:rsidRPr="001734CE">
          <w:rPr>
            <w:b/>
            <w:webHidden/>
          </w:rPr>
        </w:r>
        <w:r w:rsidR="00555FD2" w:rsidRPr="001734CE">
          <w:rPr>
            <w:b/>
            <w:webHidden/>
          </w:rPr>
          <w:fldChar w:fldCharType="separate"/>
        </w:r>
        <w:r w:rsidR="00247FBB">
          <w:rPr>
            <w:b/>
            <w:webHidden/>
          </w:rPr>
          <w:t>1</w:t>
        </w:r>
        <w:r w:rsidR="00555FD2" w:rsidRPr="001734CE">
          <w:rPr>
            <w:b/>
            <w:webHidden/>
          </w:rPr>
          <w:fldChar w:fldCharType="end"/>
        </w:r>
      </w:hyperlink>
    </w:p>
    <w:p w14:paraId="2EAD5BCE" w14:textId="025CEA4E" w:rsidR="00555FD2" w:rsidRPr="001734CE" w:rsidRDefault="004056AC">
      <w:pPr>
        <w:pStyle w:val="TOC1"/>
        <w:rPr>
          <w:rFonts w:asciiTheme="minorHAnsi" w:eastAsiaTheme="minorEastAsia" w:hAnsiTheme="minorHAnsi" w:cstheme="minorBidi"/>
          <w:sz w:val="22"/>
          <w:szCs w:val="22"/>
          <w:lang w:eastAsia="en-AU"/>
        </w:rPr>
      </w:pPr>
      <w:hyperlink w:anchor="_Toc141344175" w:history="1">
        <w:r w:rsidR="00555FD2" w:rsidRPr="001734CE">
          <w:rPr>
            <w:rStyle w:val="Hyperlink"/>
          </w:rPr>
          <w:t>Number of investigations from reports to child protection services</w:t>
        </w:r>
        <w:r w:rsidR="00555FD2" w:rsidRPr="001734CE">
          <w:rPr>
            <w:webHidden/>
          </w:rPr>
          <w:tab/>
        </w:r>
        <w:r w:rsidR="00555FD2" w:rsidRPr="001734CE">
          <w:rPr>
            <w:webHidden/>
          </w:rPr>
          <w:fldChar w:fldCharType="begin"/>
        </w:r>
        <w:r w:rsidR="00555FD2" w:rsidRPr="001734CE">
          <w:rPr>
            <w:webHidden/>
          </w:rPr>
          <w:instrText xml:space="preserve"> PAGEREF _Toc141344175 \h </w:instrText>
        </w:r>
        <w:r w:rsidR="00555FD2" w:rsidRPr="001734CE">
          <w:rPr>
            <w:webHidden/>
          </w:rPr>
        </w:r>
        <w:r w:rsidR="00555FD2" w:rsidRPr="001734CE">
          <w:rPr>
            <w:webHidden/>
          </w:rPr>
          <w:fldChar w:fldCharType="separate"/>
        </w:r>
        <w:r w:rsidR="00247FBB">
          <w:rPr>
            <w:webHidden/>
          </w:rPr>
          <w:t>1</w:t>
        </w:r>
        <w:r w:rsidR="00555FD2" w:rsidRPr="001734CE">
          <w:rPr>
            <w:webHidden/>
          </w:rPr>
          <w:fldChar w:fldCharType="end"/>
        </w:r>
      </w:hyperlink>
    </w:p>
    <w:p w14:paraId="4BA7AFE3" w14:textId="7780827A" w:rsidR="00555FD2" w:rsidRPr="001734CE" w:rsidRDefault="004056AC">
      <w:pPr>
        <w:pStyle w:val="TOC1"/>
        <w:rPr>
          <w:rFonts w:asciiTheme="minorHAnsi" w:eastAsiaTheme="minorEastAsia" w:hAnsiTheme="minorHAnsi" w:cstheme="minorBidi"/>
          <w:sz w:val="22"/>
          <w:szCs w:val="22"/>
          <w:lang w:eastAsia="en-AU"/>
        </w:rPr>
      </w:pPr>
      <w:hyperlink w:anchor="_Toc141344176" w:history="1">
        <w:r w:rsidR="00555FD2" w:rsidRPr="001734CE">
          <w:rPr>
            <w:rStyle w:val="Hyperlink"/>
          </w:rPr>
          <w:t>Awaiting allocation (annual)</w:t>
        </w:r>
        <w:r w:rsidR="00555FD2" w:rsidRPr="001734CE">
          <w:rPr>
            <w:webHidden/>
          </w:rPr>
          <w:tab/>
        </w:r>
        <w:r w:rsidR="00555FD2" w:rsidRPr="001734CE">
          <w:rPr>
            <w:webHidden/>
          </w:rPr>
          <w:fldChar w:fldCharType="begin"/>
        </w:r>
        <w:r w:rsidR="00555FD2" w:rsidRPr="001734CE">
          <w:rPr>
            <w:webHidden/>
          </w:rPr>
          <w:instrText xml:space="preserve"> PAGEREF _Toc141344176 \h </w:instrText>
        </w:r>
        <w:r w:rsidR="00555FD2" w:rsidRPr="001734CE">
          <w:rPr>
            <w:webHidden/>
          </w:rPr>
        </w:r>
        <w:r w:rsidR="00555FD2" w:rsidRPr="001734CE">
          <w:rPr>
            <w:webHidden/>
          </w:rPr>
          <w:fldChar w:fldCharType="separate"/>
        </w:r>
        <w:r w:rsidR="00247FBB">
          <w:rPr>
            <w:webHidden/>
          </w:rPr>
          <w:t>1</w:t>
        </w:r>
        <w:r w:rsidR="00555FD2" w:rsidRPr="001734CE">
          <w:rPr>
            <w:webHidden/>
          </w:rPr>
          <w:fldChar w:fldCharType="end"/>
        </w:r>
      </w:hyperlink>
    </w:p>
    <w:p w14:paraId="7B136294" w14:textId="1FD4F380" w:rsidR="00555FD2" w:rsidRPr="001734CE" w:rsidRDefault="004056AC">
      <w:pPr>
        <w:pStyle w:val="TOC1"/>
        <w:rPr>
          <w:rFonts w:asciiTheme="minorHAnsi" w:eastAsiaTheme="minorEastAsia" w:hAnsiTheme="minorHAnsi" w:cstheme="minorBidi"/>
          <w:sz w:val="22"/>
          <w:szCs w:val="22"/>
          <w:lang w:eastAsia="en-AU"/>
        </w:rPr>
      </w:pPr>
      <w:hyperlink w:anchor="_Toc141344177" w:history="1">
        <w:r w:rsidR="00555FD2" w:rsidRPr="001734CE">
          <w:rPr>
            <w:rStyle w:val="Hyperlink"/>
          </w:rPr>
          <w:t>Child protection investigations assessed as urgent that were visited or attempts were made to visit within two days of receipt of report</w:t>
        </w:r>
        <w:r w:rsidR="00555FD2" w:rsidRPr="001734CE">
          <w:rPr>
            <w:webHidden/>
          </w:rPr>
          <w:tab/>
        </w:r>
        <w:r w:rsidR="00555FD2" w:rsidRPr="001734CE">
          <w:rPr>
            <w:webHidden/>
          </w:rPr>
          <w:fldChar w:fldCharType="begin"/>
        </w:r>
        <w:r w:rsidR="00555FD2" w:rsidRPr="001734CE">
          <w:rPr>
            <w:webHidden/>
          </w:rPr>
          <w:instrText xml:space="preserve"> PAGEREF _Toc141344177 \h </w:instrText>
        </w:r>
        <w:r w:rsidR="00555FD2" w:rsidRPr="001734CE">
          <w:rPr>
            <w:webHidden/>
          </w:rPr>
        </w:r>
        <w:r w:rsidR="00555FD2" w:rsidRPr="001734CE">
          <w:rPr>
            <w:webHidden/>
          </w:rPr>
          <w:fldChar w:fldCharType="separate"/>
        </w:r>
        <w:r w:rsidR="00247FBB">
          <w:rPr>
            <w:webHidden/>
          </w:rPr>
          <w:t>2</w:t>
        </w:r>
        <w:r w:rsidR="00555FD2" w:rsidRPr="001734CE">
          <w:rPr>
            <w:webHidden/>
          </w:rPr>
          <w:fldChar w:fldCharType="end"/>
        </w:r>
      </w:hyperlink>
    </w:p>
    <w:p w14:paraId="31B9B875" w14:textId="4949AA84" w:rsidR="00555FD2" w:rsidRPr="001734CE" w:rsidRDefault="004056AC">
      <w:pPr>
        <w:pStyle w:val="TOC1"/>
        <w:rPr>
          <w:rFonts w:asciiTheme="minorHAnsi" w:eastAsiaTheme="minorEastAsia" w:hAnsiTheme="minorHAnsi" w:cstheme="minorBidi"/>
          <w:sz w:val="22"/>
          <w:szCs w:val="22"/>
          <w:lang w:eastAsia="en-AU"/>
        </w:rPr>
      </w:pPr>
      <w:hyperlink w:anchor="_Toc141344178" w:history="1">
        <w:r w:rsidR="00555FD2" w:rsidRPr="001734CE">
          <w:rPr>
            <w:rStyle w:val="Hyperlink"/>
          </w:rPr>
          <w:t>Children and young people who were the subject of an investigation which led to a decision not to substantiate, who were subsequently the subject of a substantiation within three months of case closure</w:t>
        </w:r>
        <w:r w:rsidR="00555FD2" w:rsidRPr="001734CE">
          <w:rPr>
            <w:webHidden/>
          </w:rPr>
          <w:tab/>
        </w:r>
        <w:r w:rsidR="00555FD2" w:rsidRPr="001734CE">
          <w:rPr>
            <w:webHidden/>
          </w:rPr>
          <w:fldChar w:fldCharType="begin"/>
        </w:r>
        <w:r w:rsidR="00555FD2" w:rsidRPr="001734CE">
          <w:rPr>
            <w:webHidden/>
          </w:rPr>
          <w:instrText xml:space="preserve"> PAGEREF _Toc141344178 \h </w:instrText>
        </w:r>
        <w:r w:rsidR="00555FD2" w:rsidRPr="001734CE">
          <w:rPr>
            <w:webHidden/>
          </w:rPr>
        </w:r>
        <w:r w:rsidR="00555FD2" w:rsidRPr="001734CE">
          <w:rPr>
            <w:webHidden/>
          </w:rPr>
          <w:fldChar w:fldCharType="separate"/>
        </w:r>
        <w:r w:rsidR="00247FBB">
          <w:rPr>
            <w:webHidden/>
          </w:rPr>
          <w:t>2</w:t>
        </w:r>
        <w:r w:rsidR="00555FD2" w:rsidRPr="001734CE">
          <w:rPr>
            <w:webHidden/>
          </w:rPr>
          <w:fldChar w:fldCharType="end"/>
        </w:r>
      </w:hyperlink>
    </w:p>
    <w:p w14:paraId="3CE64189" w14:textId="6EA3F5EF" w:rsidR="00555FD2" w:rsidRPr="001734CE" w:rsidRDefault="004056AC">
      <w:pPr>
        <w:pStyle w:val="TOC1"/>
        <w:rPr>
          <w:rFonts w:asciiTheme="minorHAnsi" w:eastAsiaTheme="minorEastAsia" w:hAnsiTheme="minorHAnsi" w:cstheme="minorBidi"/>
          <w:sz w:val="22"/>
          <w:szCs w:val="22"/>
          <w:lang w:eastAsia="en-AU"/>
        </w:rPr>
      </w:pPr>
      <w:hyperlink w:anchor="_Toc141344179" w:history="1">
        <w:r w:rsidR="00555FD2" w:rsidRPr="001734CE">
          <w:rPr>
            <w:rStyle w:val="Hyperlink"/>
          </w:rPr>
          <w:t>Children and young people who were the subject of a substantiated report within 12 months of the closure of a previous substantiated report</w:t>
        </w:r>
        <w:r w:rsidR="00555FD2" w:rsidRPr="001734CE">
          <w:rPr>
            <w:webHidden/>
          </w:rPr>
          <w:tab/>
        </w:r>
        <w:r w:rsidR="00555FD2" w:rsidRPr="001734CE">
          <w:rPr>
            <w:webHidden/>
          </w:rPr>
          <w:fldChar w:fldCharType="begin"/>
        </w:r>
        <w:r w:rsidR="00555FD2" w:rsidRPr="001734CE">
          <w:rPr>
            <w:webHidden/>
          </w:rPr>
          <w:instrText xml:space="preserve"> PAGEREF _Toc141344179 \h </w:instrText>
        </w:r>
        <w:r w:rsidR="00555FD2" w:rsidRPr="001734CE">
          <w:rPr>
            <w:webHidden/>
          </w:rPr>
        </w:r>
        <w:r w:rsidR="00555FD2" w:rsidRPr="001734CE">
          <w:rPr>
            <w:webHidden/>
          </w:rPr>
          <w:fldChar w:fldCharType="separate"/>
        </w:r>
        <w:r w:rsidR="00247FBB">
          <w:rPr>
            <w:webHidden/>
          </w:rPr>
          <w:t>3</w:t>
        </w:r>
        <w:r w:rsidR="00555FD2" w:rsidRPr="001734CE">
          <w:rPr>
            <w:webHidden/>
          </w:rPr>
          <w:fldChar w:fldCharType="end"/>
        </w:r>
      </w:hyperlink>
    </w:p>
    <w:p w14:paraId="686D0739" w14:textId="5505888D" w:rsidR="00555FD2" w:rsidRPr="001734CE" w:rsidRDefault="004056AC">
      <w:pPr>
        <w:pStyle w:val="TOC1"/>
        <w:rPr>
          <w:rFonts w:asciiTheme="minorHAnsi" w:eastAsiaTheme="minorEastAsia" w:hAnsiTheme="minorHAnsi" w:cstheme="minorBidi"/>
          <w:sz w:val="22"/>
          <w:szCs w:val="22"/>
          <w:lang w:eastAsia="en-AU"/>
        </w:rPr>
      </w:pPr>
      <w:hyperlink w:anchor="_Toc141344180" w:history="1">
        <w:r w:rsidR="00555FD2" w:rsidRPr="001734CE">
          <w:rPr>
            <w:rStyle w:val="Hyperlink"/>
          </w:rPr>
          <w:t>Number of Child FIRST assessments and interventions undertaken outside of The Orange Door</w:t>
        </w:r>
        <w:r w:rsidR="00555FD2" w:rsidRPr="001734CE">
          <w:rPr>
            <w:webHidden/>
          </w:rPr>
          <w:tab/>
        </w:r>
        <w:r w:rsidR="00555FD2" w:rsidRPr="001734CE">
          <w:rPr>
            <w:webHidden/>
          </w:rPr>
          <w:fldChar w:fldCharType="begin"/>
        </w:r>
        <w:r w:rsidR="00555FD2" w:rsidRPr="001734CE">
          <w:rPr>
            <w:webHidden/>
          </w:rPr>
          <w:instrText xml:space="preserve"> PAGEREF _Toc141344180 \h </w:instrText>
        </w:r>
        <w:r w:rsidR="00555FD2" w:rsidRPr="001734CE">
          <w:rPr>
            <w:webHidden/>
          </w:rPr>
        </w:r>
        <w:r w:rsidR="00555FD2" w:rsidRPr="001734CE">
          <w:rPr>
            <w:webHidden/>
          </w:rPr>
          <w:fldChar w:fldCharType="separate"/>
        </w:r>
        <w:r w:rsidR="00247FBB">
          <w:rPr>
            <w:webHidden/>
          </w:rPr>
          <w:t>3</w:t>
        </w:r>
        <w:r w:rsidR="00555FD2" w:rsidRPr="001734CE">
          <w:rPr>
            <w:webHidden/>
          </w:rPr>
          <w:fldChar w:fldCharType="end"/>
        </w:r>
      </w:hyperlink>
    </w:p>
    <w:p w14:paraId="39BB0979" w14:textId="094611C3" w:rsidR="00555FD2" w:rsidRPr="001734CE" w:rsidRDefault="004056AC">
      <w:pPr>
        <w:pStyle w:val="TOC1"/>
        <w:rPr>
          <w:rFonts w:asciiTheme="minorHAnsi" w:eastAsiaTheme="minorEastAsia" w:hAnsiTheme="minorHAnsi" w:cstheme="minorBidi"/>
          <w:sz w:val="22"/>
          <w:szCs w:val="22"/>
          <w:lang w:eastAsia="en-AU"/>
        </w:rPr>
      </w:pPr>
      <w:hyperlink w:anchor="_Toc141344181" w:history="1">
        <w:r w:rsidR="00555FD2" w:rsidRPr="001734CE">
          <w:rPr>
            <w:rStyle w:val="Hyperlink"/>
          </w:rPr>
          <w:t>Total number of family services cases provided</w:t>
        </w:r>
        <w:r w:rsidR="00555FD2" w:rsidRPr="001734CE">
          <w:rPr>
            <w:webHidden/>
          </w:rPr>
          <w:tab/>
        </w:r>
        <w:r w:rsidR="00555FD2" w:rsidRPr="001734CE">
          <w:rPr>
            <w:webHidden/>
          </w:rPr>
          <w:fldChar w:fldCharType="begin"/>
        </w:r>
        <w:r w:rsidR="00555FD2" w:rsidRPr="001734CE">
          <w:rPr>
            <w:webHidden/>
          </w:rPr>
          <w:instrText xml:space="preserve"> PAGEREF _Toc141344181 \h </w:instrText>
        </w:r>
        <w:r w:rsidR="00555FD2" w:rsidRPr="001734CE">
          <w:rPr>
            <w:webHidden/>
          </w:rPr>
        </w:r>
        <w:r w:rsidR="00555FD2" w:rsidRPr="001734CE">
          <w:rPr>
            <w:webHidden/>
          </w:rPr>
          <w:fldChar w:fldCharType="separate"/>
        </w:r>
        <w:r w:rsidR="00247FBB">
          <w:rPr>
            <w:webHidden/>
          </w:rPr>
          <w:t>4</w:t>
        </w:r>
        <w:r w:rsidR="00555FD2" w:rsidRPr="001734CE">
          <w:rPr>
            <w:webHidden/>
          </w:rPr>
          <w:fldChar w:fldCharType="end"/>
        </w:r>
      </w:hyperlink>
    </w:p>
    <w:p w14:paraId="576732C9" w14:textId="1A932FFE" w:rsidR="00555FD2" w:rsidRPr="001734CE" w:rsidRDefault="004056AC">
      <w:pPr>
        <w:pStyle w:val="TOC1"/>
        <w:rPr>
          <w:rFonts w:asciiTheme="minorHAnsi" w:eastAsiaTheme="minorEastAsia" w:hAnsiTheme="minorHAnsi" w:cstheme="minorBidi"/>
          <w:sz w:val="22"/>
          <w:szCs w:val="22"/>
          <w:lang w:eastAsia="en-AU"/>
        </w:rPr>
      </w:pPr>
      <w:hyperlink w:anchor="_Toc141344182" w:history="1">
        <w:r w:rsidR="00555FD2" w:rsidRPr="001734CE">
          <w:rPr>
            <w:rStyle w:val="Hyperlink"/>
          </w:rPr>
          <w:t>Number of family service cases provided to Aboriginal families</w:t>
        </w:r>
        <w:r w:rsidR="00555FD2" w:rsidRPr="001734CE">
          <w:rPr>
            <w:webHidden/>
          </w:rPr>
          <w:tab/>
        </w:r>
        <w:r w:rsidR="00555FD2" w:rsidRPr="001734CE">
          <w:rPr>
            <w:webHidden/>
          </w:rPr>
          <w:fldChar w:fldCharType="begin"/>
        </w:r>
        <w:r w:rsidR="00555FD2" w:rsidRPr="001734CE">
          <w:rPr>
            <w:webHidden/>
          </w:rPr>
          <w:instrText xml:space="preserve"> PAGEREF _Toc141344182 \h </w:instrText>
        </w:r>
        <w:r w:rsidR="00555FD2" w:rsidRPr="001734CE">
          <w:rPr>
            <w:webHidden/>
          </w:rPr>
        </w:r>
        <w:r w:rsidR="00555FD2" w:rsidRPr="001734CE">
          <w:rPr>
            <w:webHidden/>
          </w:rPr>
          <w:fldChar w:fldCharType="separate"/>
        </w:r>
        <w:r w:rsidR="00247FBB">
          <w:rPr>
            <w:webHidden/>
          </w:rPr>
          <w:t>4</w:t>
        </w:r>
        <w:r w:rsidR="00555FD2" w:rsidRPr="001734CE">
          <w:rPr>
            <w:webHidden/>
          </w:rPr>
          <w:fldChar w:fldCharType="end"/>
        </w:r>
      </w:hyperlink>
    </w:p>
    <w:p w14:paraId="2D141BF7" w14:textId="3FCD9828" w:rsidR="00555FD2" w:rsidRPr="001734CE" w:rsidRDefault="004056AC">
      <w:pPr>
        <w:pStyle w:val="TOC1"/>
        <w:rPr>
          <w:rFonts w:asciiTheme="minorHAnsi" w:eastAsiaTheme="minorEastAsia" w:hAnsiTheme="minorHAnsi" w:cstheme="minorBidi"/>
          <w:sz w:val="22"/>
          <w:szCs w:val="22"/>
          <w:lang w:eastAsia="en-AU"/>
        </w:rPr>
      </w:pPr>
      <w:hyperlink w:anchor="_Toc141344183" w:history="1">
        <w:r w:rsidR="00555FD2" w:rsidRPr="001734CE">
          <w:rPr>
            <w:rStyle w:val="Hyperlink"/>
          </w:rPr>
          <w:t>Number of families receiving an intensive support service</w:t>
        </w:r>
        <w:r w:rsidR="00555FD2" w:rsidRPr="001734CE">
          <w:rPr>
            <w:webHidden/>
          </w:rPr>
          <w:tab/>
        </w:r>
        <w:r w:rsidR="00555FD2" w:rsidRPr="001734CE">
          <w:rPr>
            <w:webHidden/>
          </w:rPr>
          <w:fldChar w:fldCharType="begin"/>
        </w:r>
        <w:r w:rsidR="00555FD2" w:rsidRPr="001734CE">
          <w:rPr>
            <w:webHidden/>
          </w:rPr>
          <w:instrText xml:space="preserve"> PAGEREF _Toc141344183 \h </w:instrText>
        </w:r>
        <w:r w:rsidR="00555FD2" w:rsidRPr="001734CE">
          <w:rPr>
            <w:webHidden/>
          </w:rPr>
        </w:r>
        <w:r w:rsidR="00555FD2" w:rsidRPr="001734CE">
          <w:rPr>
            <w:webHidden/>
          </w:rPr>
          <w:fldChar w:fldCharType="separate"/>
        </w:r>
        <w:r w:rsidR="00247FBB">
          <w:rPr>
            <w:webHidden/>
          </w:rPr>
          <w:t>5</w:t>
        </w:r>
        <w:r w:rsidR="00555FD2" w:rsidRPr="001734CE">
          <w:rPr>
            <w:webHidden/>
          </w:rPr>
          <w:fldChar w:fldCharType="end"/>
        </w:r>
      </w:hyperlink>
    </w:p>
    <w:p w14:paraId="7781AF7D" w14:textId="5D24D613" w:rsidR="00555FD2" w:rsidRPr="001734CE" w:rsidRDefault="004056AC">
      <w:pPr>
        <w:pStyle w:val="TOC1"/>
        <w:rPr>
          <w:rFonts w:asciiTheme="minorHAnsi" w:eastAsiaTheme="minorEastAsia" w:hAnsiTheme="minorHAnsi" w:cstheme="minorBidi"/>
          <w:sz w:val="22"/>
          <w:szCs w:val="22"/>
          <w:lang w:eastAsia="en-AU"/>
        </w:rPr>
      </w:pPr>
      <w:hyperlink w:anchor="_Toc141344184" w:history="1">
        <w:r w:rsidR="00555FD2" w:rsidRPr="001734CE">
          <w:rPr>
            <w:rStyle w:val="Hyperlink"/>
          </w:rPr>
          <w:t>Number of intensive support services provided to Aboriginal families</w:t>
        </w:r>
        <w:r w:rsidR="00555FD2" w:rsidRPr="001734CE">
          <w:rPr>
            <w:webHidden/>
          </w:rPr>
          <w:tab/>
        </w:r>
        <w:r w:rsidR="00555FD2" w:rsidRPr="001734CE">
          <w:rPr>
            <w:webHidden/>
          </w:rPr>
          <w:fldChar w:fldCharType="begin"/>
        </w:r>
        <w:r w:rsidR="00555FD2" w:rsidRPr="001734CE">
          <w:rPr>
            <w:webHidden/>
          </w:rPr>
          <w:instrText xml:space="preserve"> PAGEREF _Toc141344184 \h </w:instrText>
        </w:r>
        <w:r w:rsidR="00555FD2" w:rsidRPr="001734CE">
          <w:rPr>
            <w:webHidden/>
          </w:rPr>
        </w:r>
        <w:r w:rsidR="00555FD2" w:rsidRPr="001734CE">
          <w:rPr>
            <w:webHidden/>
          </w:rPr>
          <w:fldChar w:fldCharType="separate"/>
        </w:r>
        <w:r w:rsidR="00247FBB">
          <w:rPr>
            <w:webHidden/>
          </w:rPr>
          <w:t>5</w:t>
        </w:r>
        <w:r w:rsidR="00555FD2" w:rsidRPr="001734CE">
          <w:rPr>
            <w:webHidden/>
          </w:rPr>
          <w:fldChar w:fldCharType="end"/>
        </w:r>
      </w:hyperlink>
    </w:p>
    <w:p w14:paraId="453649AB" w14:textId="10CCB512" w:rsidR="00555FD2" w:rsidRPr="001734CE" w:rsidRDefault="004056AC">
      <w:pPr>
        <w:pStyle w:val="TOC1"/>
        <w:rPr>
          <w:rFonts w:asciiTheme="minorHAnsi" w:eastAsiaTheme="minorEastAsia" w:hAnsiTheme="minorHAnsi" w:cstheme="minorBidi"/>
          <w:sz w:val="22"/>
          <w:szCs w:val="22"/>
          <w:lang w:eastAsia="en-AU"/>
        </w:rPr>
      </w:pPr>
      <w:hyperlink w:anchor="_Toc141344185" w:history="1">
        <w:r w:rsidR="00555FD2" w:rsidRPr="001734CE">
          <w:rPr>
            <w:rStyle w:val="Hyperlink"/>
          </w:rPr>
          <w:t>Daily average number of children in care placements (excl. permanent care)</w:t>
        </w:r>
        <w:r w:rsidR="00555FD2" w:rsidRPr="001734CE">
          <w:rPr>
            <w:webHidden/>
          </w:rPr>
          <w:tab/>
        </w:r>
        <w:r w:rsidR="00555FD2" w:rsidRPr="001734CE">
          <w:rPr>
            <w:webHidden/>
          </w:rPr>
          <w:fldChar w:fldCharType="begin"/>
        </w:r>
        <w:r w:rsidR="00555FD2" w:rsidRPr="001734CE">
          <w:rPr>
            <w:webHidden/>
          </w:rPr>
          <w:instrText xml:space="preserve"> PAGEREF _Toc141344185 \h </w:instrText>
        </w:r>
        <w:r w:rsidR="00555FD2" w:rsidRPr="001734CE">
          <w:rPr>
            <w:webHidden/>
          </w:rPr>
        </w:r>
        <w:r w:rsidR="00555FD2" w:rsidRPr="001734CE">
          <w:rPr>
            <w:webHidden/>
          </w:rPr>
          <w:fldChar w:fldCharType="separate"/>
        </w:r>
        <w:r w:rsidR="00247FBB">
          <w:rPr>
            <w:webHidden/>
          </w:rPr>
          <w:t>5</w:t>
        </w:r>
        <w:r w:rsidR="00555FD2" w:rsidRPr="001734CE">
          <w:rPr>
            <w:webHidden/>
          </w:rPr>
          <w:fldChar w:fldCharType="end"/>
        </w:r>
      </w:hyperlink>
    </w:p>
    <w:p w14:paraId="4EB4F751" w14:textId="61987EF6" w:rsidR="00555FD2" w:rsidRPr="001734CE" w:rsidRDefault="004056AC">
      <w:pPr>
        <w:pStyle w:val="TOC1"/>
        <w:rPr>
          <w:rFonts w:asciiTheme="minorHAnsi" w:eastAsiaTheme="minorEastAsia" w:hAnsiTheme="minorHAnsi" w:cstheme="minorBidi"/>
          <w:sz w:val="22"/>
          <w:szCs w:val="22"/>
          <w:lang w:eastAsia="en-AU"/>
        </w:rPr>
      </w:pPr>
      <w:hyperlink w:anchor="_Toc141344186" w:history="1">
        <w:r w:rsidR="00555FD2" w:rsidRPr="001734CE">
          <w:rPr>
            <w:rStyle w:val="Hyperlink"/>
          </w:rPr>
          <w:t>Daily average number of children subject to permanent care order</w:t>
        </w:r>
        <w:r w:rsidR="00555FD2" w:rsidRPr="001734CE">
          <w:rPr>
            <w:webHidden/>
          </w:rPr>
          <w:tab/>
        </w:r>
        <w:r w:rsidR="00555FD2" w:rsidRPr="001734CE">
          <w:rPr>
            <w:webHidden/>
          </w:rPr>
          <w:fldChar w:fldCharType="begin"/>
        </w:r>
        <w:r w:rsidR="00555FD2" w:rsidRPr="001734CE">
          <w:rPr>
            <w:webHidden/>
          </w:rPr>
          <w:instrText xml:space="preserve"> PAGEREF _Toc141344186 \h </w:instrText>
        </w:r>
        <w:r w:rsidR="00555FD2" w:rsidRPr="001734CE">
          <w:rPr>
            <w:webHidden/>
          </w:rPr>
        </w:r>
        <w:r w:rsidR="00555FD2" w:rsidRPr="001734CE">
          <w:rPr>
            <w:webHidden/>
          </w:rPr>
          <w:fldChar w:fldCharType="separate"/>
        </w:r>
        <w:r w:rsidR="00247FBB">
          <w:rPr>
            <w:webHidden/>
          </w:rPr>
          <w:t>6</w:t>
        </w:r>
        <w:r w:rsidR="00555FD2" w:rsidRPr="001734CE">
          <w:rPr>
            <w:webHidden/>
          </w:rPr>
          <w:fldChar w:fldCharType="end"/>
        </w:r>
      </w:hyperlink>
    </w:p>
    <w:p w14:paraId="0F80C23C" w14:textId="57F43B38" w:rsidR="00555FD2" w:rsidRPr="001734CE" w:rsidRDefault="004056AC">
      <w:pPr>
        <w:pStyle w:val="TOC1"/>
        <w:rPr>
          <w:rFonts w:asciiTheme="minorHAnsi" w:eastAsiaTheme="minorEastAsia" w:hAnsiTheme="minorHAnsi" w:cstheme="minorBidi"/>
          <w:sz w:val="22"/>
          <w:szCs w:val="22"/>
          <w:lang w:eastAsia="en-AU"/>
        </w:rPr>
      </w:pPr>
      <w:hyperlink w:anchor="_Toc141344187" w:history="1">
        <w:r w:rsidR="00555FD2" w:rsidRPr="001734CE">
          <w:rPr>
            <w:rStyle w:val="Hyperlink"/>
          </w:rPr>
          <w:t>Daily average number of children in foster care placements</w:t>
        </w:r>
        <w:r w:rsidR="00555FD2" w:rsidRPr="001734CE">
          <w:rPr>
            <w:webHidden/>
          </w:rPr>
          <w:tab/>
        </w:r>
        <w:r w:rsidR="00555FD2" w:rsidRPr="001734CE">
          <w:rPr>
            <w:webHidden/>
          </w:rPr>
          <w:fldChar w:fldCharType="begin"/>
        </w:r>
        <w:r w:rsidR="00555FD2" w:rsidRPr="001734CE">
          <w:rPr>
            <w:webHidden/>
          </w:rPr>
          <w:instrText xml:space="preserve"> PAGEREF _Toc141344187 \h </w:instrText>
        </w:r>
        <w:r w:rsidR="00555FD2" w:rsidRPr="001734CE">
          <w:rPr>
            <w:webHidden/>
          </w:rPr>
        </w:r>
        <w:r w:rsidR="00555FD2" w:rsidRPr="001734CE">
          <w:rPr>
            <w:webHidden/>
          </w:rPr>
          <w:fldChar w:fldCharType="separate"/>
        </w:r>
        <w:r w:rsidR="00247FBB">
          <w:rPr>
            <w:webHidden/>
          </w:rPr>
          <w:t>6</w:t>
        </w:r>
        <w:r w:rsidR="00555FD2" w:rsidRPr="001734CE">
          <w:rPr>
            <w:webHidden/>
          </w:rPr>
          <w:fldChar w:fldCharType="end"/>
        </w:r>
      </w:hyperlink>
    </w:p>
    <w:p w14:paraId="59A8292C" w14:textId="0197FE57" w:rsidR="00555FD2" w:rsidRPr="001734CE" w:rsidRDefault="004056AC">
      <w:pPr>
        <w:pStyle w:val="TOC1"/>
        <w:rPr>
          <w:rFonts w:asciiTheme="minorHAnsi" w:eastAsiaTheme="minorEastAsia" w:hAnsiTheme="minorHAnsi" w:cstheme="minorBidi"/>
          <w:sz w:val="22"/>
          <w:szCs w:val="22"/>
          <w:lang w:eastAsia="en-AU"/>
        </w:rPr>
      </w:pPr>
      <w:hyperlink w:anchor="_Toc141344188" w:history="1">
        <w:r w:rsidR="00555FD2" w:rsidRPr="001734CE">
          <w:rPr>
            <w:rStyle w:val="Hyperlink"/>
          </w:rPr>
          <w:t>Daily average number of children in residential care placements</w:t>
        </w:r>
        <w:r w:rsidR="00555FD2" w:rsidRPr="001734CE">
          <w:rPr>
            <w:webHidden/>
          </w:rPr>
          <w:tab/>
        </w:r>
        <w:r w:rsidR="00555FD2" w:rsidRPr="001734CE">
          <w:rPr>
            <w:webHidden/>
          </w:rPr>
          <w:fldChar w:fldCharType="begin"/>
        </w:r>
        <w:r w:rsidR="00555FD2" w:rsidRPr="001734CE">
          <w:rPr>
            <w:webHidden/>
          </w:rPr>
          <w:instrText xml:space="preserve"> PAGEREF _Toc141344188 \h </w:instrText>
        </w:r>
        <w:r w:rsidR="00555FD2" w:rsidRPr="001734CE">
          <w:rPr>
            <w:webHidden/>
          </w:rPr>
        </w:r>
        <w:r w:rsidR="00555FD2" w:rsidRPr="001734CE">
          <w:rPr>
            <w:webHidden/>
          </w:rPr>
          <w:fldChar w:fldCharType="separate"/>
        </w:r>
        <w:r w:rsidR="00247FBB">
          <w:rPr>
            <w:webHidden/>
          </w:rPr>
          <w:t>6</w:t>
        </w:r>
        <w:r w:rsidR="00555FD2" w:rsidRPr="001734CE">
          <w:rPr>
            <w:webHidden/>
          </w:rPr>
          <w:fldChar w:fldCharType="end"/>
        </w:r>
      </w:hyperlink>
    </w:p>
    <w:p w14:paraId="234071BA" w14:textId="1B8B003E" w:rsidR="00555FD2" w:rsidRPr="001734CE" w:rsidRDefault="004056AC">
      <w:pPr>
        <w:pStyle w:val="TOC1"/>
        <w:rPr>
          <w:rFonts w:asciiTheme="minorHAnsi" w:eastAsiaTheme="minorEastAsia" w:hAnsiTheme="minorHAnsi" w:cstheme="minorBidi"/>
          <w:sz w:val="22"/>
          <w:szCs w:val="22"/>
          <w:lang w:eastAsia="en-AU"/>
        </w:rPr>
      </w:pPr>
      <w:hyperlink w:anchor="_Toc141344189" w:history="1">
        <w:r w:rsidR="00555FD2" w:rsidRPr="001734CE">
          <w:rPr>
            <w:rStyle w:val="Hyperlink"/>
          </w:rPr>
          <w:t>Daily average number of children in kinship care placements</w:t>
        </w:r>
        <w:r w:rsidR="00555FD2" w:rsidRPr="001734CE">
          <w:rPr>
            <w:webHidden/>
          </w:rPr>
          <w:tab/>
        </w:r>
        <w:r w:rsidR="00555FD2" w:rsidRPr="001734CE">
          <w:rPr>
            <w:webHidden/>
          </w:rPr>
          <w:fldChar w:fldCharType="begin"/>
        </w:r>
        <w:r w:rsidR="00555FD2" w:rsidRPr="001734CE">
          <w:rPr>
            <w:webHidden/>
          </w:rPr>
          <w:instrText xml:space="preserve"> PAGEREF _Toc141344189 \h </w:instrText>
        </w:r>
        <w:r w:rsidR="00555FD2" w:rsidRPr="001734CE">
          <w:rPr>
            <w:webHidden/>
          </w:rPr>
        </w:r>
        <w:r w:rsidR="00555FD2" w:rsidRPr="001734CE">
          <w:rPr>
            <w:webHidden/>
          </w:rPr>
          <w:fldChar w:fldCharType="separate"/>
        </w:r>
        <w:r w:rsidR="00247FBB">
          <w:rPr>
            <w:webHidden/>
          </w:rPr>
          <w:t>7</w:t>
        </w:r>
        <w:r w:rsidR="00555FD2" w:rsidRPr="001734CE">
          <w:rPr>
            <w:webHidden/>
          </w:rPr>
          <w:fldChar w:fldCharType="end"/>
        </w:r>
      </w:hyperlink>
    </w:p>
    <w:p w14:paraId="7A579FE5" w14:textId="4899A95A" w:rsidR="00555FD2" w:rsidRPr="001734CE" w:rsidRDefault="004056AC">
      <w:pPr>
        <w:pStyle w:val="TOC1"/>
        <w:rPr>
          <w:rFonts w:asciiTheme="minorHAnsi" w:eastAsiaTheme="minorEastAsia" w:hAnsiTheme="minorHAnsi" w:cstheme="minorBidi"/>
          <w:sz w:val="22"/>
          <w:szCs w:val="22"/>
          <w:lang w:eastAsia="en-AU"/>
        </w:rPr>
      </w:pPr>
      <w:hyperlink w:anchor="_Toc141344190" w:history="1">
        <w:r w:rsidR="00555FD2" w:rsidRPr="001734CE">
          <w:rPr>
            <w:rStyle w:val="Hyperlink"/>
          </w:rPr>
          <w:t>Children and young people in care who have had two or less placements in the past 12 months (not including time at home in parental care)</w:t>
        </w:r>
        <w:r w:rsidR="00555FD2" w:rsidRPr="001734CE">
          <w:rPr>
            <w:webHidden/>
          </w:rPr>
          <w:tab/>
        </w:r>
        <w:r w:rsidR="00555FD2" w:rsidRPr="001734CE">
          <w:rPr>
            <w:webHidden/>
          </w:rPr>
          <w:fldChar w:fldCharType="begin"/>
        </w:r>
        <w:r w:rsidR="00555FD2" w:rsidRPr="001734CE">
          <w:rPr>
            <w:webHidden/>
          </w:rPr>
          <w:instrText xml:space="preserve"> PAGEREF _Toc141344190 \h </w:instrText>
        </w:r>
        <w:r w:rsidR="00555FD2" w:rsidRPr="001734CE">
          <w:rPr>
            <w:webHidden/>
          </w:rPr>
        </w:r>
        <w:r w:rsidR="00555FD2" w:rsidRPr="001734CE">
          <w:rPr>
            <w:webHidden/>
          </w:rPr>
          <w:fldChar w:fldCharType="separate"/>
        </w:r>
        <w:r w:rsidR="00247FBB">
          <w:rPr>
            <w:webHidden/>
          </w:rPr>
          <w:t>7</w:t>
        </w:r>
        <w:r w:rsidR="00555FD2" w:rsidRPr="001734CE">
          <w:rPr>
            <w:webHidden/>
          </w:rPr>
          <w:fldChar w:fldCharType="end"/>
        </w:r>
      </w:hyperlink>
    </w:p>
    <w:p w14:paraId="0E9DFE4B" w14:textId="25F415A3" w:rsidR="00555FD2" w:rsidRPr="001734CE" w:rsidRDefault="004056AC">
      <w:pPr>
        <w:pStyle w:val="TOC1"/>
        <w:rPr>
          <w:rFonts w:asciiTheme="minorHAnsi" w:eastAsiaTheme="minorEastAsia" w:hAnsiTheme="minorHAnsi" w:cstheme="minorBidi"/>
          <w:sz w:val="22"/>
          <w:szCs w:val="22"/>
          <w:lang w:eastAsia="en-AU"/>
        </w:rPr>
      </w:pPr>
      <w:hyperlink w:anchor="_Toc141344191" w:history="1">
        <w:r w:rsidR="00555FD2" w:rsidRPr="001734CE">
          <w:rPr>
            <w:rStyle w:val="Hyperlink"/>
          </w:rPr>
          <w:t>Proportion of Aboriginal children placed with relatives, kin, other Aboriginal carers or in Aboriginal residential care (including permanent care)</w:t>
        </w:r>
        <w:r w:rsidR="00555FD2" w:rsidRPr="001734CE">
          <w:rPr>
            <w:webHidden/>
          </w:rPr>
          <w:tab/>
        </w:r>
        <w:r w:rsidR="00555FD2" w:rsidRPr="001734CE">
          <w:rPr>
            <w:webHidden/>
          </w:rPr>
          <w:fldChar w:fldCharType="begin"/>
        </w:r>
        <w:r w:rsidR="00555FD2" w:rsidRPr="001734CE">
          <w:rPr>
            <w:webHidden/>
          </w:rPr>
          <w:instrText xml:space="preserve"> PAGEREF _Toc141344191 \h </w:instrText>
        </w:r>
        <w:r w:rsidR="00555FD2" w:rsidRPr="001734CE">
          <w:rPr>
            <w:webHidden/>
          </w:rPr>
        </w:r>
        <w:r w:rsidR="00555FD2" w:rsidRPr="001734CE">
          <w:rPr>
            <w:webHidden/>
          </w:rPr>
          <w:fldChar w:fldCharType="separate"/>
        </w:r>
        <w:r w:rsidR="00247FBB">
          <w:rPr>
            <w:webHidden/>
          </w:rPr>
          <w:t>7</w:t>
        </w:r>
        <w:r w:rsidR="00555FD2" w:rsidRPr="001734CE">
          <w:rPr>
            <w:webHidden/>
          </w:rPr>
          <w:fldChar w:fldCharType="end"/>
        </w:r>
      </w:hyperlink>
    </w:p>
    <w:p w14:paraId="5E313E83" w14:textId="486F22BF" w:rsidR="00555FD2" w:rsidRPr="001734CE" w:rsidRDefault="004056AC">
      <w:pPr>
        <w:pStyle w:val="TOC1"/>
        <w:rPr>
          <w:rFonts w:asciiTheme="minorHAnsi" w:eastAsiaTheme="minorEastAsia" w:hAnsiTheme="minorHAnsi" w:cstheme="minorBidi"/>
          <w:sz w:val="22"/>
          <w:szCs w:val="22"/>
          <w:lang w:eastAsia="en-AU"/>
        </w:rPr>
      </w:pPr>
      <w:hyperlink w:anchor="_Toc141344192" w:history="1">
        <w:r w:rsidR="00555FD2" w:rsidRPr="001734CE">
          <w:rPr>
            <w:rStyle w:val="Hyperlink"/>
          </w:rPr>
          <w:t>Organisations that have successfully completed a certification review (family and community services)</w:t>
        </w:r>
        <w:r w:rsidR="00555FD2" w:rsidRPr="001734CE">
          <w:rPr>
            <w:webHidden/>
          </w:rPr>
          <w:tab/>
        </w:r>
        <w:r w:rsidR="00555FD2" w:rsidRPr="001734CE">
          <w:rPr>
            <w:webHidden/>
          </w:rPr>
          <w:fldChar w:fldCharType="begin"/>
        </w:r>
        <w:r w:rsidR="00555FD2" w:rsidRPr="001734CE">
          <w:rPr>
            <w:webHidden/>
          </w:rPr>
          <w:instrText xml:space="preserve"> PAGEREF _Toc141344192 \h </w:instrText>
        </w:r>
        <w:r w:rsidR="00555FD2" w:rsidRPr="001734CE">
          <w:rPr>
            <w:webHidden/>
          </w:rPr>
        </w:r>
        <w:r w:rsidR="00555FD2" w:rsidRPr="001734CE">
          <w:rPr>
            <w:webHidden/>
          </w:rPr>
          <w:fldChar w:fldCharType="separate"/>
        </w:r>
        <w:r w:rsidR="00247FBB">
          <w:rPr>
            <w:webHidden/>
          </w:rPr>
          <w:t>8</w:t>
        </w:r>
        <w:r w:rsidR="00555FD2" w:rsidRPr="001734CE">
          <w:rPr>
            <w:webHidden/>
          </w:rPr>
          <w:fldChar w:fldCharType="end"/>
        </w:r>
      </w:hyperlink>
    </w:p>
    <w:p w14:paraId="22381B6E" w14:textId="7009B2CF" w:rsidR="00555FD2" w:rsidRPr="005518B7" w:rsidRDefault="004056AC">
      <w:pPr>
        <w:pStyle w:val="TOC1"/>
        <w:rPr>
          <w:rFonts w:asciiTheme="minorHAnsi" w:eastAsiaTheme="minorEastAsia" w:hAnsiTheme="minorHAnsi" w:cstheme="minorBidi"/>
          <w:b w:val="0"/>
          <w:bCs/>
          <w:sz w:val="22"/>
          <w:szCs w:val="22"/>
          <w:lang w:eastAsia="en-AU"/>
        </w:rPr>
      </w:pPr>
      <w:hyperlink w:anchor="_Toc141344193" w:history="1">
        <w:r w:rsidR="00555FD2" w:rsidRPr="001734CE">
          <w:rPr>
            <w:rStyle w:val="Hyperlink"/>
          </w:rPr>
          <w:t>Organisations that have successfully completed a certification review (specialist support and placement services)</w:t>
        </w:r>
        <w:r w:rsidR="00555FD2" w:rsidRPr="001734CE">
          <w:rPr>
            <w:webHidden/>
          </w:rPr>
          <w:tab/>
        </w:r>
        <w:r w:rsidR="00555FD2" w:rsidRPr="001734CE">
          <w:rPr>
            <w:webHidden/>
          </w:rPr>
          <w:fldChar w:fldCharType="begin"/>
        </w:r>
        <w:r w:rsidR="00555FD2" w:rsidRPr="001734CE">
          <w:rPr>
            <w:webHidden/>
          </w:rPr>
          <w:instrText xml:space="preserve"> PAGEREF _Toc141344193 \h </w:instrText>
        </w:r>
        <w:r w:rsidR="00555FD2" w:rsidRPr="001734CE">
          <w:rPr>
            <w:webHidden/>
          </w:rPr>
        </w:r>
        <w:r w:rsidR="00555FD2" w:rsidRPr="001734CE">
          <w:rPr>
            <w:webHidden/>
          </w:rPr>
          <w:fldChar w:fldCharType="separate"/>
        </w:r>
        <w:r w:rsidR="00247FBB">
          <w:rPr>
            <w:webHidden/>
          </w:rPr>
          <w:t>8</w:t>
        </w:r>
        <w:r w:rsidR="00555FD2" w:rsidRPr="001734CE">
          <w:rPr>
            <w:webHidden/>
          </w:rPr>
          <w:fldChar w:fldCharType="end"/>
        </w:r>
      </w:hyperlink>
    </w:p>
    <w:p w14:paraId="47AD58CB" w14:textId="2B2B80ED" w:rsidR="005F5C52" w:rsidRPr="00653A31" w:rsidRDefault="00C567A8" w:rsidP="00653A31">
      <w:pPr>
        <w:pStyle w:val="Heading1"/>
      </w:pPr>
      <w:r w:rsidRPr="005518B7">
        <w:lastRenderedPageBreak/>
        <w:fldChar w:fldCharType="end"/>
      </w:r>
      <w:bookmarkStart w:id="1" w:name="_Toc141344174"/>
      <w:r w:rsidR="005F5C52" w:rsidRPr="00653A31">
        <w:t>Reports to child protection services about the wellbeing and safety of children</w:t>
      </w:r>
      <w:bookmarkEnd w:id="1"/>
    </w:p>
    <w:p w14:paraId="60343531" w14:textId="77777777" w:rsidR="005F5C52" w:rsidRDefault="005F5C52" w:rsidP="005F5C52">
      <w:pPr>
        <w:pStyle w:val="Body"/>
      </w:pPr>
      <w:r>
        <w:t>State result includes Central After-Hours Service. Division results reflect the location (address) of the client rather than location of the Intake Room. Data includes Address not stated, Interstate/Overseas.</w:t>
      </w:r>
    </w:p>
    <w:p w14:paraId="4DE983A6" w14:textId="77777777" w:rsidR="005F5C52" w:rsidRDefault="005F5C52" w:rsidP="00BB186F">
      <w:pPr>
        <w:pStyle w:val="Tablecaption"/>
      </w:pPr>
      <w:r>
        <w:t>Financial year to date (YTD). Unit of measure: cumulative number.</w:t>
      </w:r>
    </w:p>
    <w:tbl>
      <w:tblPr>
        <w:tblStyle w:val="TableGrid"/>
        <w:tblW w:w="0" w:type="auto"/>
        <w:tblLook w:val="04A0" w:firstRow="1" w:lastRow="0" w:firstColumn="1" w:lastColumn="0" w:noHBand="0" w:noVBand="1"/>
      </w:tblPr>
      <w:tblGrid>
        <w:gridCol w:w="2038"/>
        <w:gridCol w:w="2039"/>
        <w:gridCol w:w="2039"/>
        <w:gridCol w:w="2039"/>
        <w:gridCol w:w="2039"/>
      </w:tblGrid>
      <w:tr w:rsidR="00536ADD" w:rsidRPr="00D9640F" w14:paraId="44D7EF73" w14:textId="77777777" w:rsidTr="00786084">
        <w:trPr>
          <w:trHeight w:val="227"/>
          <w:tblHeader/>
        </w:trPr>
        <w:tc>
          <w:tcPr>
            <w:tcW w:w="2038" w:type="dxa"/>
            <w:tcBorders>
              <w:bottom w:val="single" w:sz="4" w:space="0" w:color="auto"/>
            </w:tcBorders>
          </w:tcPr>
          <w:p w14:paraId="029D3EAC" w14:textId="77777777" w:rsidR="00536ADD" w:rsidRPr="00D9640F" w:rsidRDefault="00536ADD" w:rsidP="00D9640F">
            <w:pPr>
              <w:pStyle w:val="Tablecolhead"/>
            </w:pPr>
            <w:r w:rsidRPr="00D9640F">
              <w:t>Division</w:t>
            </w:r>
          </w:p>
        </w:tc>
        <w:tc>
          <w:tcPr>
            <w:tcW w:w="2039" w:type="dxa"/>
            <w:tcBorders>
              <w:bottom w:val="single" w:sz="4" w:space="0" w:color="auto"/>
            </w:tcBorders>
          </w:tcPr>
          <w:p w14:paraId="6579F9F7" w14:textId="77777777" w:rsidR="00536ADD" w:rsidRPr="00D9640F" w:rsidRDefault="00536ADD" w:rsidP="00C769A0">
            <w:pPr>
              <w:pStyle w:val="Tablecolhead"/>
              <w:jc w:val="right"/>
            </w:pPr>
            <w:r w:rsidRPr="00D9640F">
              <w:t>September 2022</w:t>
            </w:r>
          </w:p>
        </w:tc>
        <w:tc>
          <w:tcPr>
            <w:tcW w:w="2039" w:type="dxa"/>
            <w:tcBorders>
              <w:bottom w:val="single" w:sz="4" w:space="0" w:color="auto"/>
            </w:tcBorders>
          </w:tcPr>
          <w:p w14:paraId="13775C64" w14:textId="77777777" w:rsidR="00536ADD" w:rsidRPr="00D9640F" w:rsidRDefault="00536ADD" w:rsidP="00C769A0">
            <w:pPr>
              <w:pStyle w:val="Tablecolhead"/>
              <w:jc w:val="right"/>
            </w:pPr>
            <w:r w:rsidRPr="00D9640F">
              <w:t>December 2022</w:t>
            </w:r>
          </w:p>
        </w:tc>
        <w:tc>
          <w:tcPr>
            <w:tcW w:w="2039" w:type="dxa"/>
            <w:tcBorders>
              <w:bottom w:val="single" w:sz="4" w:space="0" w:color="auto"/>
            </w:tcBorders>
          </w:tcPr>
          <w:p w14:paraId="652022C5" w14:textId="77777777" w:rsidR="00536ADD" w:rsidRPr="00D9640F" w:rsidRDefault="00536ADD" w:rsidP="00C769A0">
            <w:pPr>
              <w:pStyle w:val="Tablecolhead"/>
              <w:jc w:val="right"/>
            </w:pPr>
            <w:r w:rsidRPr="00D9640F">
              <w:t>March 2023</w:t>
            </w:r>
          </w:p>
        </w:tc>
        <w:tc>
          <w:tcPr>
            <w:tcW w:w="2039" w:type="dxa"/>
            <w:tcBorders>
              <w:bottom w:val="single" w:sz="4" w:space="0" w:color="auto"/>
            </w:tcBorders>
          </w:tcPr>
          <w:p w14:paraId="1CE2D37C" w14:textId="77777777" w:rsidR="00536ADD" w:rsidRPr="00D9640F" w:rsidRDefault="00536ADD" w:rsidP="00C769A0">
            <w:pPr>
              <w:pStyle w:val="Tablecolhead"/>
              <w:jc w:val="right"/>
            </w:pPr>
            <w:r w:rsidRPr="00D9640F">
              <w:t>June 2023</w:t>
            </w:r>
          </w:p>
        </w:tc>
      </w:tr>
      <w:tr w:rsidR="00411A65" w:rsidRPr="00D9640F" w14:paraId="150F8C41" w14:textId="77777777" w:rsidTr="00786084">
        <w:trPr>
          <w:trHeight w:val="227"/>
          <w:tblHeader/>
        </w:trPr>
        <w:tc>
          <w:tcPr>
            <w:tcW w:w="2038" w:type="dxa"/>
            <w:shd w:val="clear" w:color="auto" w:fill="DAEEF3" w:themeFill="accent5" w:themeFillTint="33"/>
          </w:tcPr>
          <w:p w14:paraId="2B09D97C" w14:textId="77777777" w:rsidR="00411A65" w:rsidRPr="00D9640F" w:rsidRDefault="00411A65" w:rsidP="00411A65">
            <w:pPr>
              <w:pStyle w:val="Tabletext"/>
            </w:pPr>
            <w:r w:rsidRPr="00D9640F">
              <w:t>State</w:t>
            </w:r>
          </w:p>
        </w:tc>
        <w:tc>
          <w:tcPr>
            <w:tcW w:w="2039" w:type="dxa"/>
            <w:shd w:val="clear" w:color="auto" w:fill="DAEEF3" w:themeFill="accent5" w:themeFillTint="33"/>
          </w:tcPr>
          <w:p w14:paraId="33E92132" w14:textId="77777777" w:rsidR="00411A65" w:rsidRPr="00D9640F" w:rsidRDefault="00411A65" w:rsidP="00411A65">
            <w:pPr>
              <w:pStyle w:val="StyleTabletextRight"/>
            </w:pPr>
            <w:r w:rsidRPr="00D9640F">
              <w:t>32,144</w:t>
            </w:r>
          </w:p>
        </w:tc>
        <w:tc>
          <w:tcPr>
            <w:tcW w:w="2039" w:type="dxa"/>
            <w:shd w:val="clear" w:color="auto" w:fill="DAEEF3" w:themeFill="accent5" w:themeFillTint="33"/>
          </w:tcPr>
          <w:p w14:paraId="11AB4905" w14:textId="4E839A60" w:rsidR="00411A65" w:rsidRPr="00D9640F" w:rsidRDefault="00411A65" w:rsidP="00411A65">
            <w:pPr>
              <w:pStyle w:val="StyleTabletextRight"/>
            </w:pPr>
            <w:r w:rsidRPr="00D9640F">
              <w:t>64,226</w:t>
            </w:r>
          </w:p>
        </w:tc>
        <w:tc>
          <w:tcPr>
            <w:tcW w:w="2039" w:type="dxa"/>
            <w:shd w:val="clear" w:color="auto" w:fill="DAEEF3" w:themeFill="accent5" w:themeFillTint="33"/>
          </w:tcPr>
          <w:p w14:paraId="731CEDB9" w14:textId="77777777" w:rsidR="00411A65" w:rsidRPr="00D9640F" w:rsidRDefault="00411A65" w:rsidP="00411A65">
            <w:pPr>
              <w:pStyle w:val="StyleTabletextRight"/>
            </w:pPr>
            <w:r w:rsidRPr="00D9640F">
              <w:t>96,757</w:t>
            </w:r>
          </w:p>
        </w:tc>
        <w:tc>
          <w:tcPr>
            <w:tcW w:w="2039" w:type="dxa"/>
            <w:shd w:val="clear" w:color="auto" w:fill="DAEEF3" w:themeFill="accent5" w:themeFillTint="33"/>
          </w:tcPr>
          <w:p w14:paraId="37D8D927" w14:textId="6670B044" w:rsidR="00411A65" w:rsidRPr="00D9640F" w:rsidRDefault="00411A65" w:rsidP="00411A65">
            <w:pPr>
              <w:pStyle w:val="Tabletext"/>
              <w:jc w:val="right"/>
            </w:pPr>
            <w:r w:rsidRPr="004B4F6B">
              <w:t>128,705</w:t>
            </w:r>
          </w:p>
        </w:tc>
      </w:tr>
      <w:tr w:rsidR="00411A65" w:rsidRPr="00D9640F" w14:paraId="3BBF6241" w14:textId="77777777" w:rsidTr="00786084">
        <w:trPr>
          <w:trHeight w:val="227"/>
          <w:tblHeader/>
        </w:trPr>
        <w:tc>
          <w:tcPr>
            <w:tcW w:w="2038" w:type="dxa"/>
          </w:tcPr>
          <w:p w14:paraId="10846059" w14:textId="77777777" w:rsidR="00411A65" w:rsidRPr="00D9640F" w:rsidRDefault="00411A65" w:rsidP="00411A65">
            <w:pPr>
              <w:pStyle w:val="Tabletext"/>
            </w:pPr>
            <w:r w:rsidRPr="00D9640F">
              <w:t>North</w:t>
            </w:r>
          </w:p>
        </w:tc>
        <w:tc>
          <w:tcPr>
            <w:tcW w:w="2039" w:type="dxa"/>
          </w:tcPr>
          <w:p w14:paraId="4170FBCA" w14:textId="77777777" w:rsidR="00411A65" w:rsidRPr="00D9640F" w:rsidRDefault="00411A65" w:rsidP="00411A65">
            <w:pPr>
              <w:pStyle w:val="StyleTabletextRight"/>
            </w:pPr>
            <w:r w:rsidRPr="00D9640F">
              <w:t>6,449</w:t>
            </w:r>
          </w:p>
        </w:tc>
        <w:tc>
          <w:tcPr>
            <w:tcW w:w="2039" w:type="dxa"/>
          </w:tcPr>
          <w:p w14:paraId="26785CD6" w14:textId="77777777" w:rsidR="00411A65" w:rsidRPr="00D9640F" w:rsidRDefault="00411A65" w:rsidP="00411A65">
            <w:pPr>
              <w:pStyle w:val="StyleTabletextRight"/>
            </w:pPr>
            <w:r w:rsidRPr="00D9640F">
              <w:t>12,843</w:t>
            </w:r>
          </w:p>
        </w:tc>
        <w:tc>
          <w:tcPr>
            <w:tcW w:w="2039" w:type="dxa"/>
          </w:tcPr>
          <w:p w14:paraId="728E3928" w14:textId="77777777" w:rsidR="00411A65" w:rsidRPr="00D9640F" w:rsidRDefault="00411A65" w:rsidP="00411A65">
            <w:pPr>
              <w:pStyle w:val="StyleTabletextRight"/>
            </w:pPr>
            <w:r w:rsidRPr="00D9640F">
              <w:t>19,244</w:t>
            </w:r>
          </w:p>
        </w:tc>
        <w:tc>
          <w:tcPr>
            <w:tcW w:w="2039" w:type="dxa"/>
          </w:tcPr>
          <w:p w14:paraId="5533B54E" w14:textId="0C271C6A" w:rsidR="00411A65" w:rsidRPr="00D9640F" w:rsidRDefault="00411A65" w:rsidP="00411A65">
            <w:pPr>
              <w:pStyle w:val="Tabletext"/>
              <w:jc w:val="right"/>
            </w:pPr>
            <w:r w:rsidRPr="004B4F6B">
              <w:t>23,914</w:t>
            </w:r>
          </w:p>
        </w:tc>
      </w:tr>
      <w:tr w:rsidR="00411A65" w:rsidRPr="00D9640F" w14:paraId="6DF0FF15" w14:textId="77777777" w:rsidTr="00786084">
        <w:trPr>
          <w:trHeight w:val="227"/>
          <w:tblHeader/>
        </w:trPr>
        <w:tc>
          <w:tcPr>
            <w:tcW w:w="2038" w:type="dxa"/>
          </w:tcPr>
          <w:p w14:paraId="38292730" w14:textId="77777777" w:rsidR="00411A65" w:rsidRPr="00D9640F" w:rsidRDefault="00411A65" w:rsidP="00411A65">
            <w:pPr>
              <w:pStyle w:val="Tabletext"/>
            </w:pPr>
            <w:r w:rsidRPr="00D9640F">
              <w:t>South</w:t>
            </w:r>
          </w:p>
        </w:tc>
        <w:tc>
          <w:tcPr>
            <w:tcW w:w="2039" w:type="dxa"/>
          </w:tcPr>
          <w:p w14:paraId="1DD13288" w14:textId="77777777" w:rsidR="00411A65" w:rsidRPr="00D9640F" w:rsidRDefault="00411A65" w:rsidP="00411A65">
            <w:pPr>
              <w:pStyle w:val="StyleTabletextRight"/>
            </w:pPr>
            <w:r w:rsidRPr="00D9640F">
              <w:t>9,693</w:t>
            </w:r>
          </w:p>
        </w:tc>
        <w:tc>
          <w:tcPr>
            <w:tcW w:w="2039" w:type="dxa"/>
          </w:tcPr>
          <w:p w14:paraId="7D8C59ED" w14:textId="77777777" w:rsidR="00411A65" w:rsidRPr="00D9640F" w:rsidRDefault="00411A65" w:rsidP="00411A65">
            <w:pPr>
              <w:pStyle w:val="StyleTabletextRight"/>
            </w:pPr>
            <w:r w:rsidRPr="00D9640F">
              <w:t>19,359</w:t>
            </w:r>
          </w:p>
        </w:tc>
        <w:tc>
          <w:tcPr>
            <w:tcW w:w="2039" w:type="dxa"/>
          </w:tcPr>
          <w:p w14:paraId="0C62E717" w14:textId="77777777" w:rsidR="00411A65" w:rsidRPr="00D9640F" w:rsidRDefault="00411A65" w:rsidP="00411A65">
            <w:pPr>
              <w:pStyle w:val="StyleTabletextRight"/>
            </w:pPr>
            <w:r w:rsidRPr="00D9640F">
              <w:t>29,432</w:t>
            </w:r>
          </w:p>
        </w:tc>
        <w:tc>
          <w:tcPr>
            <w:tcW w:w="2039" w:type="dxa"/>
          </w:tcPr>
          <w:p w14:paraId="494818EC" w14:textId="5379BDB6" w:rsidR="00411A65" w:rsidRPr="00D9640F" w:rsidRDefault="00411A65" w:rsidP="00411A65">
            <w:pPr>
              <w:pStyle w:val="Tabletext"/>
              <w:jc w:val="right"/>
            </w:pPr>
            <w:r w:rsidRPr="004B4F6B">
              <w:t>37,895</w:t>
            </w:r>
          </w:p>
        </w:tc>
      </w:tr>
      <w:tr w:rsidR="00411A65" w:rsidRPr="00D9640F" w14:paraId="52C914F1" w14:textId="77777777" w:rsidTr="00786084">
        <w:trPr>
          <w:trHeight w:val="227"/>
          <w:tblHeader/>
        </w:trPr>
        <w:tc>
          <w:tcPr>
            <w:tcW w:w="2038" w:type="dxa"/>
          </w:tcPr>
          <w:p w14:paraId="5176B14E" w14:textId="77777777" w:rsidR="00411A65" w:rsidRPr="00D9640F" w:rsidRDefault="00411A65" w:rsidP="00411A65">
            <w:pPr>
              <w:pStyle w:val="Tabletext"/>
            </w:pPr>
            <w:r w:rsidRPr="00D9640F">
              <w:t>East</w:t>
            </w:r>
          </w:p>
        </w:tc>
        <w:tc>
          <w:tcPr>
            <w:tcW w:w="2039" w:type="dxa"/>
          </w:tcPr>
          <w:p w14:paraId="517CCDBC" w14:textId="77777777" w:rsidR="00411A65" w:rsidRPr="00D9640F" w:rsidRDefault="00411A65" w:rsidP="00411A65">
            <w:pPr>
              <w:pStyle w:val="StyleTabletextRight"/>
            </w:pPr>
            <w:r w:rsidRPr="00D9640F">
              <w:t>5,685</w:t>
            </w:r>
          </w:p>
        </w:tc>
        <w:tc>
          <w:tcPr>
            <w:tcW w:w="2039" w:type="dxa"/>
          </w:tcPr>
          <w:p w14:paraId="3BED7B51" w14:textId="77777777" w:rsidR="00411A65" w:rsidRPr="00D9640F" w:rsidRDefault="00411A65" w:rsidP="00411A65">
            <w:pPr>
              <w:pStyle w:val="StyleTabletextRight"/>
            </w:pPr>
            <w:r w:rsidRPr="00D9640F">
              <w:t>11,211</w:t>
            </w:r>
          </w:p>
        </w:tc>
        <w:tc>
          <w:tcPr>
            <w:tcW w:w="2039" w:type="dxa"/>
          </w:tcPr>
          <w:p w14:paraId="20A099FC" w14:textId="77777777" w:rsidR="00411A65" w:rsidRPr="00D9640F" w:rsidRDefault="00411A65" w:rsidP="00411A65">
            <w:pPr>
              <w:pStyle w:val="StyleTabletextRight"/>
            </w:pPr>
            <w:r w:rsidRPr="00D9640F">
              <w:t>16,856</w:t>
            </w:r>
          </w:p>
        </w:tc>
        <w:tc>
          <w:tcPr>
            <w:tcW w:w="2039" w:type="dxa"/>
          </w:tcPr>
          <w:p w14:paraId="4C401DEE" w14:textId="006FD998" w:rsidR="00411A65" w:rsidRPr="00D9640F" w:rsidRDefault="00411A65" w:rsidP="00411A65">
            <w:pPr>
              <w:pStyle w:val="Tabletext"/>
              <w:jc w:val="right"/>
            </w:pPr>
            <w:r w:rsidRPr="004B4F6B">
              <w:t>21,374</w:t>
            </w:r>
          </w:p>
        </w:tc>
      </w:tr>
      <w:tr w:rsidR="00411A65" w:rsidRPr="00D9640F" w14:paraId="6B897484" w14:textId="77777777" w:rsidTr="00786084">
        <w:trPr>
          <w:trHeight w:val="227"/>
          <w:tblHeader/>
        </w:trPr>
        <w:tc>
          <w:tcPr>
            <w:tcW w:w="2038" w:type="dxa"/>
          </w:tcPr>
          <w:p w14:paraId="07354775" w14:textId="77777777" w:rsidR="00411A65" w:rsidRPr="00D9640F" w:rsidRDefault="00411A65" w:rsidP="00411A65">
            <w:pPr>
              <w:pStyle w:val="Tabletext"/>
            </w:pPr>
            <w:r w:rsidRPr="00D9640F">
              <w:t>West</w:t>
            </w:r>
          </w:p>
        </w:tc>
        <w:tc>
          <w:tcPr>
            <w:tcW w:w="2039" w:type="dxa"/>
          </w:tcPr>
          <w:p w14:paraId="2203082E" w14:textId="77777777" w:rsidR="00411A65" w:rsidRPr="00D9640F" w:rsidRDefault="00411A65" w:rsidP="00411A65">
            <w:pPr>
              <w:pStyle w:val="StyleTabletextRight"/>
            </w:pPr>
            <w:r w:rsidRPr="00D9640F">
              <w:t>9,884</w:t>
            </w:r>
          </w:p>
        </w:tc>
        <w:tc>
          <w:tcPr>
            <w:tcW w:w="2039" w:type="dxa"/>
          </w:tcPr>
          <w:p w14:paraId="695D9AC9" w14:textId="77777777" w:rsidR="00411A65" w:rsidRPr="00D9640F" w:rsidRDefault="00411A65" w:rsidP="00411A65">
            <w:pPr>
              <w:pStyle w:val="StyleTabletextRight"/>
            </w:pPr>
            <w:r w:rsidRPr="00D9640F">
              <w:t>19,938</w:t>
            </w:r>
          </w:p>
        </w:tc>
        <w:tc>
          <w:tcPr>
            <w:tcW w:w="2039" w:type="dxa"/>
          </w:tcPr>
          <w:p w14:paraId="4707F533" w14:textId="77777777" w:rsidR="00411A65" w:rsidRPr="00D9640F" w:rsidRDefault="00411A65" w:rsidP="00411A65">
            <w:pPr>
              <w:pStyle w:val="StyleTabletextRight"/>
            </w:pPr>
            <w:r w:rsidRPr="00D9640F">
              <w:t>29,798</w:t>
            </w:r>
          </w:p>
        </w:tc>
        <w:tc>
          <w:tcPr>
            <w:tcW w:w="2039" w:type="dxa"/>
          </w:tcPr>
          <w:p w14:paraId="175679C0" w14:textId="5DFB53F7" w:rsidR="00411A65" w:rsidRPr="00D9640F" w:rsidRDefault="00411A65" w:rsidP="00411A65">
            <w:pPr>
              <w:pStyle w:val="Tabletext"/>
              <w:jc w:val="right"/>
            </w:pPr>
            <w:r w:rsidRPr="004B4F6B">
              <w:t>38,058</w:t>
            </w:r>
          </w:p>
        </w:tc>
      </w:tr>
    </w:tbl>
    <w:p w14:paraId="37FA01AC" w14:textId="77777777" w:rsidR="005F5C52" w:rsidRDefault="005F5C52" w:rsidP="00972370">
      <w:pPr>
        <w:pStyle w:val="Heading1"/>
      </w:pPr>
      <w:bookmarkStart w:id="2" w:name="_Toc141344175"/>
      <w:r>
        <w:t>Number of investigations from reports to child protection services</w:t>
      </w:r>
      <w:bookmarkEnd w:id="2"/>
    </w:p>
    <w:p w14:paraId="0D1EFED3" w14:textId="77777777" w:rsidR="005F5C52" w:rsidRDefault="005F5C52" w:rsidP="00BB186F">
      <w:pPr>
        <w:pStyle w:val="Tablecaption"/>
      </w:pPr>
      <w:r>
        <w:t>Financial year to date (YTD). Unit of measure: cumulative number.</w:t>
      </w:r>
    </w:p>
    <w:tbl>
      <w:tblPr>
        <w:tblStyle w:val="TableGrid"/>
        <w:tblW w:w="0" w:type="auto"/>
        <w:tblLook w:val="04A0" w:firstRow="1" w:lastRow="0" w:firstColumn="1" w:lastColumn="0" w:noHBand="0" w:noVBand="1"/>
      </w:tblPr>
      <w:tblGrid>
        <w:gridCol w:w="2038"/>
        <w:gridCol w:w="2039"/>
        <w:gridCol w:w="2039"/>
        <w:gridCol w:w="2039"/>
        <w:gridCol w:w="2039"/>
      </w:tblGrid>
      <w:tr w:rsidR="00536ADD" w:rsidRPr="00FB43C4" w14:paraId="24FCE5C0" w14:textId="77777777" w:rsidTr="00FB43C4">
        <w:trPr>
          <w:tblHeader/>
        </w:trPr>
        <w:tc>
          <w:tcPr>
            <w:tcW w:w="2038" w:type="dxa"/>
          </w:tcPr>
          <w:p w14:paraId="7BDE8CE5" w14:textId="77777777" w:rsidR="00536ADD" w:rsidRPr="00FB43C4" w:rsidRDefault="00536ADD" w:rsidP="00FB43C4">
            <w:pPr>
              <w:pStyle w:val="Tablecolhead"/>
            </w:pPr>
            <w:r w:rsidRPr="00FB43C4">
              <w:t>Division</w:t>
            </w:r>
          </w:p>
        </w:tc>
        <w:tc>
          <w:tcPr>
            <w:tcW w:w="2039" w:type="dxa"/>
          </w:tcPr>
          <w:p w14:paraId="23D0224E" w14:textId="77777777" w:rsidR="00536ADD" w:rsidRPr="00FB43C4" w:rsidRDefault="00536ADD" w:rsidP="00C769A0">
            <w:pPr>
              <w:pStyle w:val="Tablecolhead"/>
              <w:jc w:val="right"/>
            </w:pPr>
            <w:r w:rsidRPr="00FB43C4">
              <w:t>September 2022</w:t>
            </w:r>
          </w:p>
        </w:tc>
        <w:tc>
          <w:tcPr>
            <w:tcW w:w="2039" w:type="dxa"/>
          </w:tcPr>
          <w:p w14:paraId="02C0E095" w14:textId="77777777" w:rsidR="00536ADD" w:rsidRPr="00FB43C4" w:rsidRDefault="00536ADD" w:rsidP="00C769A0">
            <w:pPr>
              <w:pStyle w:val="Tablecolhead"/>
              <w:jc w:val="right"/>
            </w:pPr>
            <w:r w:rsidRPr="00FB43C4">
              <w:t>December 2022</w:t>
            </w:r>
          </w:p>
        </w:tc>
        <w:tc>
          <w:tcPr>
            <w:tcW w:w="2039" w:type="dxa"/>
          </w:tcPr>
          <w:p w14:paraId="3C746A3A" w14:textId="77777777" w:rsidR="00536ADD" w:rsidRPr="00FB43C4" w:rsidRDefault="00536ADD" w:rsidP="00C769A0">
            <w:pPr>
              <w:pStyle w:val="Tablecolhead"/>
              <w:jc w:val="right"/>
            </w:pPr>
            <w:r w:rsidRPr="00FB43C4">
              <w:t>March 2023</w:t>
            </w:r>
          </w:p>
        </w:tc>
        <w:tc>
          <w:tcPr>
            <w:tcW w:w="2039" w:type="dxa"/>
          </w:tcPr>
          <w:p w14:paraId="591C1275" w14:textId="77777777" w:rsidR="00536ADD" w:rsidRPr="00FB43C4" w:rsidRDefault="00536ADD" w:rsidP="00C769A0">
            <w:pPr>
              <w:pStyle w:val="Tablecolhead"/>
              <w:jc w:val="right"/>
            </w:pPr>
            <w:r w:rsidRPr="00FB43C4">
              <w:t>June 2023</w:t>
            </w:r>
          </w:p>
        </w:tc>
      </w:tr>
      <w:tr w:rsidR="001D4380" w:rsidRPr="00FB43C4" w14:paraId="63266F1E" w14:textId="77777777" w:rsidTr="00E83184">
        <w:trPr>
          <w:tblHeader/>
        </w:trPr>
        <w:tc>
          <w:tcPr>
            <w:tcW w:w="2038" w:type="dxa"/>
            <w:shd w:val="clear" w:color="auto" w:fill="DAEEF3" w:themeFill="accent5" w:themeFillTint="33"/>
          </w:tcPr>
          <w:p w14:paraId="1506C906" w14:textId="77777777" w:rsidR="001D4380" w:rsidRPr="00FB43C4" w:rsidRDefault="001D4380" w:rsidP="001D4380">
            <w:pPr>
              <w:pStyle w:val="Tabletext"/>
            </w:pPr>
            <w:r w:rsidRPr="00FB43C4">
              <w:t>State</w:t>
            </w:r>
          </w:p>
        </w:tc>
        <w:tc>
          <w:tcPr>
            <w:tcW w:w="2039" w:type="dxa"/>
            <w:shd w:val="clear" w:color="auto" w:fill="DAEEF3" w:themeFill="accent5" w:themeFillTint="33"/>
          </w:tcPr>
          <w:p w14:paraId="405AAF97" w14:textId="29C62786" w:rsidR="001D4380" w:rsidRPr="00FB43C4" w:rsidRDefault="001D4380" w:rsidP="001D4380">
            <w:pPr>
              <w:pStyle w:val="StyleTabletextRight"/>
            </w:pPr>
            <w:r w:rsidRPr="00FB43C4">
              <w:t>9,859</w:t>
            </w:r>
          </w:p>
        </w:tc>
        <w:tc>
          <w:tcPr>
            <w:tcW w:w="2039" w:type="dxa"/>
            <w:shd w:val="clear" w:color="auto" w:fill="DAEEF3" w:themeFill="accent5" w:themeFillTint="33"/>
          </w:tcPr>
          <w:p w14:paraId="720F0779" w14:textId="31E70092" w:rsidR="001D4380" w:rsidRPr="00FB43C4" w:rsidRDefault="001D4380" w:rsidP="001D4380">
            <w:pPr>
              <w:pStyle w:val="StyleTabletextRight"/>
            </w:pPr>
            <w:r w:rsidRPr="00FB43C4">
              <w:t>19,520</w:t>
            </w:r>
          </w:p>
        </w:tc>
        <w:tc>
          <w:tcPr>
            <w:tcW w:w="2039" w:type="dxa"/>
            <w:shd w:val="clear" w:color="auto" w:fill="DAEEF3" w:themeFill="accent5" w:themeFillTint="33"/>
          </w:tcPr>
          <w:p w14:paraId="459EA212" w14:textId="77777777" w:rsidR="001D4380" w:rsidRPr="00FB43C4" w:rsidRDefault="001D4380" w:rsidP="001D4380">
            <w:pPr>
              <w:pStyle w:val="StyleTabletextRight"/>
            </w:pPr>
            <w:r w:rsidRPr="00FB43C4">
              <w:t>29,520</w:t>
            </w:r>
          </w:p>
        </w:tc>
        <w:tc>
          <w:tcPr>
            <w:tcW w:w="2039" w:type="dxa"/>
            <w:shd w:val="clear" w:color="auto" w:fill="DAEEF3" w:themeFill="accent5" w:themeFillTint="33"/>
          </w:tcPr>
          <w:p w14:paraId="71BC62C7" w14:textId="4E9E1428" w:rsidR="001D4380" w:rsidRPr="00FB43C4" w:rsidRDefault="001D4380" w:rsidP="001D4380">
            <w:pPr>
              <w:pStyle w:val="Tabletext"/>
              <w:jc w:val="right"/>
            </w:pPr>
            <w:r w:rsidRPr="00737015">
              <w:t>39,404</w:t>
            </w:r>
          </w:p>
        </w:tc>
      </w:tr>
      <w:tr w:rsidR="001D4380" w:rsidRPr="00FB43C4" w14:paraId="09589BDF" w14:textId="77777777" w:rsidTr="00FB43C4">
        <w:trPr>
          <w:tblHeader/>
        </w:trPr>
        <w:tc>
          <w:tcPr>
            <w:tcW w:w="2038" w:type="dxa"/>
          </w:tcPr>
          <w:p w14:paraId="5481B16E" w14:textId="77777777" w:rsidR="001D4380" w:rsidRPr="00FB43C4" w:rsidRDefault="001D4380" w:rsidP="001D4380">
            <w:pPr>
              <w:pStyle w:val="Tabletext"/>
            </w:pPr>
            <w:r w:rsidRPr="00FB43C4">
              <w:t>North</w:t>
            </w:r>
          </w:p>
        </w:tc>
        <w:tc>
          <w:tcPr>
            <w:tcW w:w="2039" w:type="dxa"/>
          </w:tcPr>
          <w:p w14:paraId="0E80B982" w14:textId="77777777" w:rsidR="001D4380" w:rsidRPr="00FB43C4" w:rsidRDefault="001D4380" w:rsidP="001D4380">
            <w:pPr>
              <w:pStyle w:val="StyleTabletextRight"/>
            </w:pPr>
            <w:r w:rsidRPr="00FB43C4">
              <w:t>1,716</w:t>
            </w:r>
          </w:p>
        </w:tc>
        <w:tc>
          <w:tcPr>
            <w:tcW w:w="2039" w:type="dxa"/>
          </w:tcPr>
          <w:p w14:paraId="7B595CF5" w14:textId="77777777" w:rsidR="001D4380" w:rsidRPr="00FB43C4" w:rsidRDefault="001D4380" w:rsidP="001D4380">
            <w:pPr>
              <w:pStyle w:val="StyleTabletextRight"/>
            </w:pPr>
            <w:r w:rsidRPr="00FB43C4">
              <w:t>3,509</w:t>
            </w:r>
          </w:p>
        </w:tc>
        <w:tc>
          <w:tcPr>
            <w:tcW w:w="2039" w:type="dxa"/>
          </w:tcPr>
          <w:p w14:paraId="2E500DB4" w14:textId="77777777" w:rsidR="001D4380" w:rsidRPr="00FB43C4" w:rsidRDefault="001D4380" w:rsidP="001D4380">
            <w:pPr>
              <w:pStyle w:val="StyleTabletextRight"/>
            </w:pPr>
            <w:r w:rsidRPr="00FB43C4">
              <w:t>5,473</w:t>
            </w:r>
          </w:p>
        </w:tc>
        <w:tc>
          <w:tcPr>
            <w:tcW w:w="2039" w:type="dxa"/>
          </w:tcPr>
          <w:p w14:paraId="502A7F0B" w14:textId="217812DB" w:rsidR="001D4380" w:rsidRPr="00FB43C4" w:rsidRDefault="001D4380" w:rsidP="001D4380">
            <w:pPr>
              <w:pStyle w:val="Tabletext"/>
              <w:jc w:val="right"/>
            </w:pPr>
            <w:r w:rsidRPr="00737015">
              <w:t>7,012</w:t>
            </w:r>
          </w:p>
        </w:tc>
      </w:tr>
      <w:tr w:rsidR="001D4380" w:rsidRPr="00FB43C4" w14:paraId="046D00C9" w14:textId="77777777" w:rsidTr="00FB43C4">
        <w:trPr>
          <w:tblHeader/>
        </w:trPr>
        <w:tc>
          <w:tcPr>
            <w:tcW w:w="2038" w:type="dxa"/>
          </w:tcPr>
          <w:p w14:paraId="27606971" w14:textId="77777777" w:rsidR="001D4380" w:rsidRPr="00FB43C4" w:rsidRDefault="001D4380" w:rsidP="001D4380">
            <w:pPr>
              <w:pStyle w:val="Tabletext"/>
            </w:pPr>
            <w:r w:rsidRPr="00FB43C4">
              <w:t>South</w:t>
            </w:r>
          </w:p>
        </w:tc>
        <w:tc>
          <w:tcPr>
            <w:tcW w:w="2039" w:type="dxa"/>
          </w:tcPr>
          <w:p w14:paraId="38B9ED11" w14:textId="77777777" w:rsidR="001D4380" w:rsidRPr="00FB43C4" w:rsidRDefault="001D4380" w:rsidP="001D4380">
            <w:pPr>
              <w:pStyle w:val="StyleTabletextRight"/>
            </w:pPr>
            <w:r w:rsidRPr="00FB43C4">
              <w:t>3,274</w:t>
            </w:r>
          </w:p>
        </w:tc>
        <w:tc>
          <w:tcPr>
            <w:tcW w:w="2039" w:type="dxa"/>
          </w:tcPr>
          <w:p w14:paraId="4FC876EC" w14:textId="77777777" w:rsidR="001D4380" w:rsidRPr="00FB43C4" w:rsidRDefault="001D4380" w:rsidP="001D4380">
            <w:pPr>
              <w:pStyle w:val="StyleTabletextRight"/>
            </w:pPr>
            <w:r w:rsidRPr="00FB43C4">
              <w:t>6,461</w:t>
            </w:r>
          </w:p>
        </w:tc>
        <w:tc>
          <w:tcPr>
            <w:tcW w:w="2039" w:type="dxa"/>
          </w:tcPr>
          <w:p w14:paraId="58871C17" w14:textId="77777777" w:rsidR="001D4380" w:rsidRPr="00FB43C4" w:rsidRDefault="001D4380" w:rsidP="001D4380">
            <w:pPr>
              <w:pStyle w:val="StyleTabletextRight"/>
            </w:pPr>
            <w:r w:rsidRPr="00FB43C4">
              <w:t>9,645</w:t>
            </w:r>
          </w:p>
        </w:tc>
        <w:tc>
          <w:tcPr>
            <w:tcW w:w="2039" w:type="dxa"/>
          </w:tcPr>
          <w:p w14:paraId="524D8ED2" w14:textId="16782A9C" w:rsidR="001D4380" w:rsidRPr="00FB43C4" w:rsidRDefault="001D4380" w:rsidP="001D4380">
            <w:pPr>
              <w:pStyle w:val="Tabletext"/>
              <w:jc w:val="right"/>
            </w:pPr>
            <w:r w:rsidRPr="00737015">
              <w:t>12,290</w:t>
            </w:r>
          </w:p>
        </w:tc>
      </w:tr>
      <w:tr w:rsidR="001D4380" w:rsidRPr="00FB43C4" w14:paraId="29E07649" w14:textId="77777777" w:rsidTr="00FB43C4">
        <w:trPr>
          <w:tblHeader/>
        </w:trPr>
        <w:tc>
          <w:tcPr>
            <w:tcW w:w="2038" w:type="dxa"/>
          </w:tcPr>
          <w:p w14:paraId="64C3C11C" w14:textId="77777777" w:rsidR="001D4380" w:rsidRPr="00FB43C4" w:rsidRDefault="001D4380" w:rsidP="001D4380">
            <w:pPr>
              <w:pStyle w:val="Tabletext"/>
            </w:pPr>
            <w:r w:rsidRPr="00FB43C4">
              <w:t>East</w:t>
            </w:r>
          </w:p>
        </w:tc>
        <w:tc>
          <w:tcPr>
            <w:tcW w:w="2039" w:type="dxa"/>
          </w:tcPr>
          <w:p w14:paraId="44D441D0" w14:textId="77777777" w:rsidR="001D4380" w:rsidRPr="00FB43C4" w:rsidRDefault="001D4380" w:rsidP="001D4380">
            <w:pPr>
              <w:pStyle w:val="StyleTabletextRight"/>
            </w:pPr>
            <w:r w:rsidRPr="00FB43C4">
              <w:t>1,775</w:t>
            </w:r>
          </w:p>
        </w:tc>
        <w:tc>
          <w:tcPr>
            <w:tcW w:w="2039" w:type="dxa"/>
          </w:tcPr>
          <w:p w14:paraId="1DED9EF5" w14:textId="77777777" w:rsidR="001D4380" w:rsidRPr="00FB43C4" w:rsidRDefault="001D4380" w:rsidP="001D4380">
            <w:pPr>
              <w:pStyle w:val="StyleTabletextRight"/>
            </w:pPr>
            <w:r w:rsidRPr="00FB43C4">
              <w:t>3,587</w:t>
            </w:r>
          </w:p>
        </w:tc>
        <w:tc>
          <w:tcPr>
            <w:tcW w:w="2039" w:type="dxa"/>
          </w:tcPr>
          <w:p w14:paraId="3FF7E10A" w14:textId="77777777" w:rsidR="001D4380" w:rsidRPr="00FB43C4" w:rsidRDefault="001D4380" w:rsidP="001D4380">
            <w:pPr>
              <w:pStyle w:val="StyleTabletextRight"/>
            </w:pPr>
            <w:r w:rsidRPr="00FB43C4">
              <w:t>5,338</w:t>
            </w:r>
          </w:p>
        </w:tc>
        <w:tc>
          <w:tcPr>
            <w:tcW w:w="2039" w:type="dxa"/>
          </w:tcPr>
          <w:p w14:paraId="238113C7" w14:textId="1B076E5A" w:rsidR="001D4380" w:rsidRPr="00FB43C4" w:rsidRDefault="001D4380" w:rsidP="001D4380">
            <w:pPr>
              <w:pStyle w:val="Tabletext"/>
              <w:jc w:val="right"/>
            </w:pPr>
            <w:r w:rsidRPr="00737015">
              <w:t>6,792</w:t>
            </w:r>
          </w:p>
        </w:tc>
      </w:tr>
      <w:tr w:rsidR="001D4380" w:rsidRPr="00FB43C4" w14:paraId="28C2221B" w14:textId="77777777" w:rsidTr="00FB43C4">
        <w:trPr>
          <w:tblHeader/>
        </w:trPr>
        <w:tc>
          <w:tcPr>
            <w:tcW w:w="2038" w:type="dxa"/>
          </w:tcPr>
          <w:p w14:paraId="2326A2D1" w14:textId="77777777" w:rsidR="001D4380" w:rsidRPr="00FB43C4" w:rsidRDefault="001D4380" w:rsidP="001D4380">
            <w:pPr>
              <w:pStyle w:val="Tabletext"/>
            </w:pPr>
            <w:r w:rsidRPr="00FB43C4">
              <w:t>West</w:t>
            </w:r>
          </w:p>
        </w:tc>
        <w:tc>
          <w:tcPr>
            <w:tcW w:w="2039" w:type="dxa"/>
          </w:tcPr>
          <w:p w14:paraId="1C40ECAB" w14:textId="77777777" w:rsidR="001D4380" w:rsidRPr="00FB43C4" w:rsidRDefault="001D4380" w:rsidP="001D4380">
            <w:pPr>
              <w:pStyle w:val="StyleTabletextRight"/>
            </w:pPr>
            <w:r w:rsidRPr="00FB43C4">
              <w:t>3,017</w:t>
            </w:r>
          </w:p>
        </w:tc>
        <w:tc>
          <w:tcPr>
            <w:tcW w:w="2039" w:type="dxa"/>
          </w:tcPr>
          <w:p w14:paraId="01C40D34" w14:textId="77777777" w:rsidR="001D4380" w:rsidRPr="00FB43C4" w:rsidRDefault="001D4380" w:rsidP="001D4380">
            <w:pPr>
              <w:pStyle w:val="StyleTabletextRight"/>
            </w:pPr>
            <w:r w:rsidRPr="00FB43C4">
              <w:t>5,780</w:t>
            </w:r>
          </w:p>
        </w:tc>
        <w:tc>
          <w:tcPr>
            <w:tcW w:w="2039" w:type="dxa"/>
          </w:tcPr>
          <w:p w14:paraId="593B3664" w14:textId="77777777" w:rsidR="001D4380" w:rsidRPr="00FB43C4" w:rsidRDefault="001D4380" w:rsidP="001D4380">
            <w:pPr>
              <w:pStyle w:val="StyleTabletextRight"/>
            </w:pPr>
            <w:r w:rsidRPr="00FB43C4">
              <w:t>8,742</w:t>
            </w:r>
          </w:p>
        </w:tc>
        <w:tc>
          <w:tcPr>
            <w:tcW w:w="2039" w:type="dxa"/>
          </w:tcPr>
          <w:p w14:paraId="4FA28481" w14:textId="072137B5" w:rsidR="001D4380" w:rsidRPr="00FB43C4" w:rsidRDefault="001D4380" w:rsidP="001D4380">
            <w:pPr>
              <w:pStyle w:val="Tabletext"/>
              <w:jc w:val="right"/>
            </w:pPr>
            <w:r w:rsidRPr="00737015">
              <w:t>11,523</w:t>
            </w:r>
          </w:p>
        </w:tc>
      </w:tr>
    </w:tbl>
    <w:p w14:paraId="5604CBEA" w14:textId="77777777" w:rsidR="005F5C52" w:rsidRDefault="005F5C52" w:rsidP="00972370">
      <w:pPr>
        <w:pStyle w:val="Heading1"/>
      </w:pPr>
      <w:bookmarkStart w:id="3" w:name="_Toc141344176"/>
      <w:r w:rsidRPr="00595105">
        <w:t>Awaiting allocation (annual)</w:t>
      </w:r>
      <w:bookmarkEnd w:id="3"/>
    </w:p>
    <w:p w14:paraId="5572E661" w14:textId="77777777" w:rsidR="001070A5" w:rsidRDefault="005F5C52" w:rsidP="005F5C52">
      <w:pPr>
        <w:pStyle w:val="Body"/>
      </w:pPr>
      <w:r>
        <w:t xml:space="preserve">State result includes Statewide Services. The awaiting allocation rate is the average of the monthly results in the year. </w:t>
      </w:r>
    </w:p>
    <w:p w14:paraId="110FBE62" w14:textId="3CB3B6A7" w:rsidR="005F5C52" w:rsidRPr="001070A5" w:rsidRDefault="005F5C52" w:rsidP="001070A5">
      <w:pPr>
        <w:pStyle w:val="Tablecaption"/>
      </w:pPr>
      <w:r w:rsidRPr="001070A5">
        <w:t>Annual. Unit of measure: per cent.</w:t>
      </w:r>
    </w:p>
    <w:tbl>
      <w:tblPr>
        <w:tblStyle w:val="TableGrid"/>
        <w:tblW w:w="0" w:type="auto"/>
        <w:tblLook w:val="04A0" w:firstRow="1" w:lastRow="0" w:firstColumn="1" w:lastColumn="0" w:noHBand="0" w:noVBand="1"/>
      </w:tblPr>
      <w:tblGrid>
        <w:gridCol w:w="3398"/>
        <w:gridCol w:w="3398"/>
      </w:tblGrid>
      <w:tr w:rsidR="00023BA9" w:rsidRPr="001070A5" w14:paraId="3405AF13" w14:textId="77777777" w:rsidTr="009D0518">
        <w:trPr>
          <w:tblHeader/>
        </w:trPr>
        <w:tc>
          <w:tcPr>
            <w:tcW w:w="3398" w:type="dxa"/>
          </w:tcPr>
          <w:p w14:paraId="559A4071" w14:textId="77777777" w:rsidR="00023BA9" w:rsidRPr="001070A5" w:rsidRDefault="00023BA9" w:rsidP="001070A5">
            <w:pPr>
              <w:pStyle w:val="Tablecolhead"/>
            </w:pPr>
            <w:r w:rsidRPr="001070A5">
              <w:t>Division</w:t>
            </w:r>
          </w:p>
        </w:tc>
        <w:tc>
          <w:tcPr>
            <w:tcW w:w="3398" w:type="dxa"/>
          </w:tcPr>
          <w:p w14:paraId="38912A04" w14:textId="14258F02" w:rsidR="00023BA9" w:rsidRPr="001070A5" w:rsidRDefault="00023BA9" w:rsidP="00C769A0">
            <w:pPr>
              <w:pStyle w:val="Tablecolhead"/>
              <w:jc w:val="right"/>
            </w:pPr>
            <w:r w:rsidRPr="001070A5">
              <w:t>2022</w:t>
            </w:r>
            <w:r w:rsidR="00142DD2">
              <w:t>–</w:t>
            </w:r>
            <w:r w:rsidRPr="001070A5">
              <w:t>23</w:t>
            </w:r>
          </w:p>
        </w:tc>
      </w:tr>
      <w:tr w:rsidR="007C7417" w:rsidRPr="00536ADD" w14:paraId="15A8AA4E" w14:textId="77777777" w:rsidTr="00BD5531">
        <w:trPr>
          <w:tblHeader/>
        </w:trPr>
        <w:tc>
          <w:tcPr>
            <w:tcW w:w="3398" w:type="dxa"/>
            <w:shd w:val="clear" w:color="auto" w:fill="DAEEF3" w:themeFill="accent5" w:themeFillTint="33"/>
          </w:tcPr>
          <w:p w14:paraId="591A3AA7" w14:textId="77777777" w:rsidR="007C7417" w:rsidRPr="00536ADD" w:rsidRDefault="007C7417" w:rsidP="007C7417">
            <w:pPr>
              <w:pStyle w:val="Tabletext"/>
            </w:pPr>
            <w:r w:rsidRPr="00536ADD">
              <w:t>State</w:t>
            </w:r>
          </w:p>
        </w:tc>
        <w:tc>
          <w:tcPr>
            <w:tcW w:w="3398" w:type="dxa"/>
            <w:shd w:val="clear" w:color="auto" w:fill="DAEEF3" w:themeFill="accent5" w:themeFillTint="33"/>
            <w:vAlign w:val="bottom"/>
          </w:tcPr>
          <w:p w14:paraId="2EFF5D3D" w14:textId="2B942730" w:rsidR="007C7417" w:rsidRPr="00536ADD" w:rsidRDefault="007C7417" w:rsidP="007C7417">
            <w:pPr>
              <w:pStyle w:val="Tabletext"/>
              <w:jc w:val="right"/>
            </w:pPr>
            <w:r w:rsidRPr="007C7417">
              <w:t>14.2</w:t>
            </w:r>
          </w:p>
        </w:tc>
      </w:tr>
      <w:tr w:rsidR="007C7417" w:rsidRPr="00536ADD" w14:paraId="2C8DA661" w14:textId="77777777" w:rsidTr="00BD5531">
        <w:trPr>
          <w:tblHeader/>
        </w:trPr>
        <w:tc>
          <w:tcPr>
            <w:tcW w:w="3398" w:type="dxa"/>
          </w:tcPr>
          <w:p w14:paraId="029A2E35" w14:textId="77777777" w:rsidR="007C7417" w:rsidRPr="00536ADD" w:rsidRDefault="007C7417" w:rsidP="007C7417">
            <w:pPr>
              <w:pStyle w:val="Tabletext"/>
            </w:pPr>
            <w:r w:rsidRPr="00536ADD">
              <w:t>North</w:t>
            </w:r>
          </w:p>
        </w:tc>
        <w:tc>
          <w:tcPr>
            <w:tcW w:w="3398" w:type="dxa"/>
            <w:vAlign w:val="center"/>
          </w:tcPr>
          <w:p w14:paraId="33C520F2" w14:textId="6DB02CD5" w:rsidR="007C7417" w:rsidRPr="00536ADD" w:rsidRDefault="007C7417" w:rsidP="007C7417">
            <w:pPr>
              <w:pStyle w:val="Tabletext"/>
              <w:jc w:val="right"/>
            </w:pPr>
            <w:r w:rsidRPr="007C7417">
              <w:t>12.8</w:t>
            </w:r>
          </w:p>
        </w:tc>
      </w:tr>
      <w:tr w:rsidR="007C7417" w:rsidRPr="00536ADD" w14:paraId="23FE6524" w14:textId="77777777" w:rsidTr="00BD5531">
        <w:trPr>
          <w:tblHeader/>
        </w:trPr>
        <w:tc>
          <w:tcPr>
            <w:tcW w:w="3398" w:type="dxa"/>
          </w:tcPr>
          <w:p w14:paraId="51348F22" w14:textId="77777777" w:rsidR="007C7417" w:rsidRPr="00536ADD" w:rsidRDefault="007C7417" w:rsidP="007C7417">
            <w:pPr>
              <w:pStyle w:val="Tabletext"/>
            </w:pPr>
            <w:r w:rsidRPr="00536ADD">
              <w:t>South</w:t>
            </w:r>
          </w:p>
        </w:tc>
        <w:tc>
          <w:tcPr>
            <w:tcW w:w="3398" w:type="dxa"/>
            <w:vAlign w:val="center"/>
          </w:tcPr>
          <w:p w14:paraId="5E41F91B" w14:textId="1AB4E3C3" w:rsidR="007C7417" w:rsidRPr="00536ADD" w:rsidRDefault="007C7417" w:rsidP="007C7417">
            <w:pPr>
              <w:pStyle w:val="Tabletext"/>
              <w:jc w:val="right"/>
            </w:pPr>
            <w:r w:rsidRPr="007C7417">
              <w:t>15.2</w:t>
            </w:r>
          </w:p>
        </w:tc>
      </w:tr>
      <w:tr w:rsidR="007C7417" w:rsidRPr="00536ADD" w14:paraId="312DC1C1" w14:textId="77777777" w:rsidTr="00BD5531">
        <w:trPr>
          <w:tblHeader/>
        </w:trPr>
        <w:tc>
          <w:tcPr>
            <w:tcW w:w="3398" w:type="dxa"/>
          </w:tcPr>
          <w:p w14:paraId="717AD1DE" w14:textId="77777777" w:rsidR="007C7417" w:rsidRPr="00536ADD" w:rsidRDefault="007C7417" w:rsidP="007C7417">
            <w:pPr>
              <w:pStyle w:val="Tabletext"/>
            </w:pPr>
            <w:r w:rsidRPr="00536ADD">
              <w:t>East</w:t>
            </w:r>
          </w:p>
        </w:tc>
        <w:tc>
          <w:tcPr>
            <w:tcW w:w="3398" w:type="dxa"/>
            <w:vAlign w:val="center"/>
          </w:tcPr>
          <w:p w14:paraId="0D848D4F" w14:textId="28927766" w:rsidR="007C7417" w:rsidRPr="00536ADD" w:rsidRDefault="007C7417" w:rsidP="007C7417">
            <w:pPr>
              <w:pStyle w:val="Tabletext"/>
              <w:jc w:val="right"/>
            </w:pPr>
            <w:r w:rsidRPr="007C7417">
              <w:t>14.0</w:t>
            </w:r>
          </w:p>
        </w:tc>
      </w:tr>
      <w:tr w:rsidR="007C7417" w:rsidRPr="00536ADD" w14:paraId="6667C56C" w14:textId="77777777" w:rsidTr="00BD5531">
        <w:trPr>
          <w:tblHeader/>
        </w:trPr>
        <w:tc>
          <w:tcPr>
            <w:tcW w:w="3398" w:type="dxa"/>
          </w:tcPr>
          <w:p w14:paraId="436EC97A" w14:textId="77777777" w:rsidR="007C7417" w:rsidRPr="00536ADD" w:rsidRDefault="007C7417" w:rsidP="007C7417">
            <w:pPr>
              <w:pStyle w:val="Tabletext"/>
            </w:pPr>
            <w:r w:rsidRPr="00536ADD">
              <w:t>West</w:t>
            </w:r>
          </w:p>
        </w:tc>
        <w:tc>
          <w:tcPr>
            <w:tcW w:w="3398" w:type="dxa"/>
            <w:vAlign w:val="center"/>
          </w:tcPr>
          <w:p w14:paraId="47FA3FA0" w14:textId="15FB4971" w:rsidR="007C7417" w:rsidRPr="00536ADD" w:rsidRDefault="007C7417" w:rsidP="007C7417">
            <w:pPr>
              <w:pStyle w:val="Tabletext"/>
              <w:jc w:val="right"/>
            </w:pPr>
            <w:r w:rsidRPr="007C7417">
              <w:t>14.3</w:t>
            </w:r>
          </w:p>
        </w:tc>
      </w:tr>
    </w:tbl>
    <w:p w14:paraId="6D409511" w14:textId="6DA2CCAA" w:rsidR="00382A2A" w:rsidRDefault="00382A2A" w:rsidP="00382A2A">
      <w:pPr>
        <w:tabs>
          <w:tab w:val="left" w:pos="1944"/>
        </w:tabs>
        <w:spacing w:after="0" w:line="240" w:lineRule="auto"/>
        <w:rPr>
          <w:highlight w:val="yellow"/>
        </w:rPr>
      </w:pPr>
    </w:p>
    <w:p w14:paraId="33CC978E" w14:textId="1BF3A654" w:rsidR="005F5C52" w:rsidRPr="00AE035E" w:rsidRDefault="00530C04" w:rsidP="00A20197">
      <w:pPr>
        <w:pStyle w:val="Heading1"/>
        <w:rPr>
          <w:bCs w:val="0"/>
          <w:highlight w:val="yellow"/>
        </w:rPr>
      </w:pPr>
      <w:r w:rsidRPr="00382A2A">
        <w:rPr>
          <w:highlight w:val="yellow"/>
        </w:rPr>
        <w:br w:type="page"/>
      </w:r>
      <w:r w:rsidR="005F5C52" w:rsidRPr="00340A22">
        <w:lastRenderedPageBreak/>
        <w:t>Awaiting allocation (quarter)</w:t>
      </w:r>
    </w:p>
    <w:p w14:paraId="4ADF01E5" w14:textId="12D526B9" w:rsidR="005F5C52" w:rsidRDefault="005F5C52" w:rsidP="005F5C52">
      <w:pPr>
        <w:pStyle w:val="Body"/>
      </w:pPr>
      <w:r>
        <w:t xml:space="preserve">State result includes Statewide Services. The awaiting allocation rate is the average of the monthly results in the period. Cases awaiting allocation are </w:t>
      </w:r>
      <w:r w:rsidR="00A249DE">
        <w:t>monitored</w:t>
      </w:r>
      <w:r>
        <w:t xml:space="preserve"> by the team manager until a case manager is allocated.</w:t>
      </w:r>
    </w:p>
    <w:p w14:paraId="685889D4" w14:textId="77777777" w:rsidR="005F5C52" w:rsidRPr="003350BB" w:rsidRDefault="005F5C52" w:rsidP="003350BB">
      <w:pPr>
        <w:pStyle w:val="Tablecaption"/>
      </w:pPr>
      <w:r w:rsidRPr="003350BB">
        <w:t>Quarter.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023BA9" w:rsidRPr="003350BB" w14:paraId="0C36831D" w14:textId="77777777" w:rsidTr="009D0518">
        <w:trPr>
          <w:tblHeader/>
        </w:trPr>
        <w:tc>
          <w:tcPr>
            <w:tcW w:w="2038" w:type="dxa"/>
          </w:tcPr>
          <w:p w14:paraId="49D6D6F4" w14:textId="77777777" w:rsidR="00023BA9" w:rsidRPr="003350BB" w:rsidRDefault="00023BA9" w:rsidP="003350BB">
            <w:pPr>
              <w:pStyle w:val="Tablecolhead"/>
            </w:pPr>
            <w:r w:rsidRPr="003350BB">
              <w:t>Division</w:t>
            </w:r>
          </w:p>
        </w:tc>
        <w:tc>
          <w:tcPr>
            <w:tcW w:w="2039" w:type="dxa"/>
          </w:tcPr>
          <w:p w14:paraId="52012EC6" w14:textId="77777777" w:rsidR="00023BA9" w:rsidRPr="003350BB" w:rsidRDefault="00023BA9" w:rsidP="00B517DD">
            <w:pPr>
              <w:pStyle w:val="Tablecolhead"/>
              <w:jc w:val="right"/>
            </w:pPr>
            <w:r w:rsidRPr="003350BB">
              <w:t>September 2022</w:t>
            </w:r>
          </w:p>
        </w:tc>
        <w:tc>
          <w:tcPr>
            <w:tcW w:w="2039" w:type="dxa"/>
          </w:tcPr>
          <w:p w14:paraId="126C3D7F" w14:textId="77777777" w:rsidR="00023BA9" w:rsidRPr="003350BB" w:rsidRDefault="00023BA9" w:rsidP="00B517DD">
            <w:pPr>
              <w:pStyle w:val="Tablecolhead"/>
              <w:jc w:val="right"/>
            </w:pPr>
            <w:r w:rsidRPr="003350BB">
              <w:t>December 2022</w:t>
            </w:r>
          </w:p>
        </w:tc>
        <w:tc>
          <w:tcPr>
            <w:tcW w:w="2039" w:type="dxa"/>
          </w:tcPr>
          <w:p w14:paraId="5D7FE343" w14:textId="77777777" w:rsidR="00023BA9" w:rsidRPr="003350BB" w:rsidRDefault="00023BA9" w:rsidP="00B517DD">
            <w:pPr>
              <w:pStyle w:val="Tablecolhead"/>
              <w:jc w:val="right"/>
            </w:pPr>
            <w:r w:rsidRPr="003350BB">
              <w:t>March 2023</w:t>
            </w:r>
          </w:p>
        </w:tc>
        <w:tc>
          <w:tcPr>
            <w:tcW w:w="2039" w:type="dxa"/>
          </w:tcPr>
          <w:p w14:paraId="0E3E6F0A" w14:textId="3658AEAA" w:rsidR="00023BA9" w:rsidRPr="003350BB" w:rsidRDefault="00023BA9" w:rsidP="00B517DD">
            <w:pPr>
              <w:pStyle w:val="Tablecolhead"/>
              <w:jc w:val="right"/>
            </w:pPr>
            <w:r w:rsidRPr="003350BB">
              <w:t>June 2023</w:t>
            </w:r>
          </w:p>
        </w:tc>
      </w:tr>
      <w:tr w:rsidR="00340A22" w:rsidRPr="003350BB" w14:paraId="6B6AE657" w14:textId="77777777" w:rsidTr="00BD5531">
        <w:trPr>
          <w:tblHeader/>
        </w:trPr>
        <w:tc>
          <w:tcPr>
            <w:tcW w:w="2038" w:type="dxa"/>
            <w:shd w:val="clear" w:color="auto" w:fill="DAEEF3" w:themeFill="accent5" w:themeFillTint="33"/>
          </w:tcPr>
          <w:p w14:paraId="2250B705" w14:textId="77777777" w:rsidR="00340A22" w:rsidRPr="003350BB" w:rsidRDefault="00340A22" w:rsidP="00340A22">
            <w:pPr>
              <w:pStyle w:val="Tabletext"/>
            </w:pPr>
            <w:r w:rsidRPr="003350BB">
              <w:t>State</w:t>
            </w:r>
          </w:p>
        </w:tc>
        <w:tc>
          <w:tcPr>
            <w:tcW w:w="2039" w:type="dxa"/>
            <w:shd w:val="clear" w:color="auto" w:fill="DAEEF3" w:themeFill="accent5" w:themeFillTint="33"/>
          </w:tcPr>
          <w:p w14:paraId="0D89F93C" w14:textId="77777777" w:rsidR="00340A22" w:rsidRPr="003350BB" w:rsidRDefault="00340A22" w:rsidP="00340A22">
            <w:pPr>
              <w:pStyle w:val="StyleTabletextRight"/>
            </w:pPr>
            <w:r w:rsidRPr="003350BB">
              <w:t>13.8</w:t>
            </w:r>
          </w:p>
        </w:tc>
        <w:tc>
          <w:tcPr>
            <w:tcW w:w="2039" w:type="dxa"/>
            <w:shd w:val="clear" w:color="auto" w:fill="DAEEF3" w:themeFill="accent5" w:themeFillTint="33"/>
          </w:tcPr>
          <w:p w14:paraId="012B320A" w14:textId="77777777" w:rsidR="00340A22" w:rsidRPr="003350BB" w:rsidRDefault="00340A22" w:rsidP="00340A22">
            <w:pPr>
              <w:pStyle w:val="StyleTabletextRight"/>
            </w:pPr>
            <w:r w:rsidRPr="003350BB">
              <w:t>13.5</w:t>
            </w:r>
          </w:p>
        </w:tc>
        <w:tc>
          <w:tcPr>
            <w:tcW w:w="2039" w:type="dxa"/>
            <w:shd w:val="clear" w:color="auto" w:fill="DAEEF3" w:themeFill="accent5" w:themeFillTint="33"/>
          </w:tcPr>
          <w:p w14:paraId="712B68CB" w14:textId="77777777" w:rsidR="00340A22" w:rsidRPr="003350BB" w:rsidRDefault="00340A22" w:rsidP="00340A22">
            <w:pPr>
              <w:pStyle w:val="StyleTabletextRight"/>
            </w:pPr>
            <w:r w:rsidRPr="003350BB">
              <w:t>13.5</w:t>
            </w:r>
          </w:p>
        </w:tc>
        <w:tc>
          <w:tcPr>
            <w:tcW w:w="2039" w:type="dxa"/>
            <w:shd w:val="clear" w:color="auto" w:fill="DAEEF3" w:themeFill="accent5" w:themeFillTint="33"/>
            <w:vAlign w:val="bottom"/>
          </w:tcPr>
          <w:p w14:paraId="296038AC" w14:textId="63019150" w:rsidR="00340A22" w:rsidRPr="003350BB" w:rsidRDefault="00340A22" w:rsidP="00340A22">
            <w:pPr>
              <w:pStyle w:val="StyleTabletextRight"/>
            </w:pPr>
            <w:r w:rsidRPr="00340A22">
              <w:t>1</w:t>
            </w:r>
            <w:r w:rsidR="00D64CEB">
              <w:t>6.1</w:t>
            </w:r>
          </w:p>
        </w:tc>
      </w:tr>
      <w:tr w:rsidR="00340A22" w:rsidRPr="003350BB" w14:paraId="67475209" w14:textId="77777777" w:rsidTr="00BD5531">
        <w:trPr>
          <w:tblHeader/>
        </w:trPr>
        <w:tc>
          <w:tcPr>
            <w:tcW w:w="2038" w:type="dxa"/>
          </w:tcPr>
          <w:p w14:paraId="7F1378DC" w14:textId="77777777" w:rsidR="00340A22" w:rsidRPr="003350BB" w:rsidRDefault="00340A22" w:rsidP="00340A22">
            <w:pPr>
              <w:pStyle w:val="Tabletext"/>
            </w:pPr>
            <w:r w:rsidRPr="003350BB">
              <w:t>North</w:t>
            </w:r>
          </w:p>
        </w:tc>
        <w:tc>
          <w:tcPr>
            <w:tcW w:w="2039" w:type="dxa"/>
          </w:tcPr>
          <w:p w14:paraId="2910876F" w14:textId="77777777" w:rsidR="00340A22" w:rsidRPr="003350BB" w:rsidRDefault="00340A22" w:rsidP="00340A22">
            <w:pPr>
              <w:pStyle w:val="StyleTabletextRight"/>
            </w:pPr>
            <w:r w:rsidRPr="003350BB">
              <w:t>14.3</w:t>
            </w:r>
          </w:p>
        </w:tc>
        <w:tc>
          <w:tcPr>
            <w:tcW w:w="2039" w:type="dxa"/>
          </w:tcPr>
          <w:p w14:paraId="7A287C5F" w14:textId="77777777" w:rsidR="00340A22" w:rsidRPr="003350BB" w:rsidRDefault="00340A22" w:rsidP="00340A22">
            <w:pPr>
              <w:pStyle w:val="StyleTabletextRight"/>
            </w:pPr>
            <w:r w:rsidRPr="003350BB">
              <w:t>10.4</w:t>
            </w:r>
          </w:p>
        </w:tc>
        <w:tc>
          <w:tcPr>
            <w:tcW w:w="2039" w:type="dxa"/>
          </w:tcPr>
          <w:p w14:paraId="7E383A8D" w14:textId="77777777" w:rsidR="00340A22" w:rsidRPr="003350BB" w:rsidRDefault="00340A22" w:rsidP="00340A22">
            <w:pPr>
              <w:pStyle w:val="StyleTabletextRight"/>
            </w:pPr>
            <w:r w:rsidRPr="003350BB">
              <w:t>12.8</w:t>
            </w:r>
          </w:p>
        </w:tc>
        <w:tc>
          <w:tcPr>
            <w:tcW w:w="2039" w:type="dxa"/>
            <w:vAlign w:val="bottom"/>
          </w:tcPr>
          <w:p w14:paraId="4E2B1EBF" w14:textId="717B0F98" w:rsidR="00340A22" w:rsidRPr="003350BB" w:rsidRDefault="00340A22" w:rsidP="00340A22">
            <w:pPr>
              <w:pStyle w:val="StyleTabletextRight"/>
            </w:pPr>
            <w:r w:rsidRPr="00340A22">
              <w:t>1</w:t>
            </w:r>
            <w:r w:rsidR="008E0614">
              <w:t>3.8</w:t>
            </w:r>
          </w:p>
        </w:tc>
      </w:tr>
      <w:tr w:rsidR="00340A22" w:rsidRPr="003350BB" w14:paraId="520859B9" w14:textId="77777777" w:rsidTr="00BD5531">
        <w:trPr>
          <w:tblHeader/>
        </w:trPr>
        <w:tc>
          <w:tcPr>
            <w:tcW w:w="2038" w:type="dxa"/>
          </w:tcPr>
          <w:p w14:paraId="36231C81" w14:textId="77777777" w:rsidR="00340A22" w:rsidRPr="003350BB" w:rsidRDefault="00340A22" w:rsidP="00340A22">
            <w:pPr>
              <w:pStyle w:val="Tabletext"/>
            </w:pPr>
            <w:r w:rsidRPr="003350BB">
              <w:t>South</w:t>
            </w:r>
          </w:p>
        </w:tc>
        <w:tc>
          <w:tcPr>
            <w:tcW w:w="2039" w:type="dxa"/>
          </w:tcPr>
          <w:p w14:paraId="7C0956A7" w14:textId="77777777" w:rsidR="00340A22" w:rsidRPr="003350BB" w:rsidRDefault="00340A22" w:rsidP="00340A22">
            <w:pPr>
              <w:pStyle w:val="StyleTabletextRight"/>
            </w:pPr>
            <w:r w:rsidRPr="003350BB">
              <w:t>13.2</w:t>
            </w:r>
          </w:p>
        </w:tc>
        <w:tc>
          <w:tcPr>
            <w:tcW w:w="2039" w:type="dxa"/>
          </w:tcPr>
          <w:p w14:paraId="0D4E440D" w14:textId="77777777" w:rsidR="00340A22" w:rsidRPr="003350BB" w:rsidRDefault="00340A22" w:rsidP="00340A22">
            <w:pPr>
              <w:pStyle w:val="StyleTabletextRight"/>
            </w:pPr>
            <w:r w:rsidRPr="003350BB">
              <w:t>15.4</w:t>
            </w:r>
          </w:p>
        </w:tc>
        <w:tc>
          <w:tcPr>
            <w:tcW w:w="2039" w:type="dxa"/>
          </w:tcPr>
          <w:p w14:paraId="0E95521C" w14:textId="77777777" w:rsidR="00340A22" w:rsidRPr="003350BB" w:rsidRDefault="00340A22" w:rsidP="00340A22">
            <w:pPr>
              <w:pStyle w:val="StyleTabletextRight"/>
            </w:pPr>
            <w:r w:rsidRPr="003350BB">
              <w:t>14.8</w:t>
            </w:r>
          </w:p>
        </w:tc>
        <w:tc>
          <w:tcPr>
            <w:tcW w:w="2039" w:type="dxa"/>
            <w:vAlign w:val="bottom"/>
          </w:tcPr>
          <w:p w14:paraId="117BB62B" w14:textId="3F095B66" w:rsidR="00340A22" w:rsidRPr="003350BB" w:rsidRDefault="00340A22" w:rsidP="00340A22">
            <w:pPr>
              <w:pStyle w:val="StyleTabletextRight"/>
            </w:pPr>
            <w:r w:rsidRPr="00340A22">
              <w:t>1</w:t>
            </w:r>
            <w:r w:rsidR="008E0614">
              <w:t>7.5</w:t>
            </w:r>
          </w:p>
        </w:tc>
      </w:tr>
      <w:tr w:rsidR="00340A22" w:rsidRPr="003350BB" w14:paraId="3C2A681D" w14:textId="77777777" w:rsidTr="00BD5531">
        <w:trPr>
          <w:tblHeader/>
        </w:trPr>
        <w:tc>
          <w:tcPr>
            <w:tcW w:w="2038" w:type="dxa"/>
          </w:tcPr>
          <w:p w14:paraId="256700B3" w14:textId="77777777" w:rsidR="00340A22" w:rsidRPr="003350BB" w:rsidRDefault="00340A22" w:rsidP="00340A22">
            <w:pPr>
              <w:pStyle w:val="Tabletext"/>
            </w:pPr>
            <w:r w:rsidRPr="003350BB">
              <w:t>East</w:t>
            </w:r>
          </w:p>
        </w:tc>
        <w:tc>
          <w:tcPr>
            <w:tcW w:w="2039" w:type="dxa"/>
          </w:tcPr>
          <w:p w14:paraId="7B929B7B" w14:textId="77777777" w:rsidR="00340A22" w:rsidRPr="003350BB" w:rsidRDefault="00340A22" w:rsidP="00340A22">
            <w:pPr>
              <w:pStyle w:val="StyleTabletextRight"/>
            </w:pPr>
            <w:r w:rsidRPr="003350BB">
              <w:t>10.0</w:t>
            </w:r>
          </w:p>
        </w:tc>
        <w:tc>
          <w:tcPr>
            <w:tcW w:w="2039" w:type="dxa"/>
          </w:tcPr>
          <w:p w14:paraId="4263B053" w14:textId="77777777" w:rsidR="00340A22" w:rsidRPr="003350BB" w:rsidRDefault="00340A22" w:rsidP="00340A22">
            <w:pPr>
              <w:pStyle w:val="StyleTabletextRight"/>
            </w:pPr>
            <w:r w:rsidRPr="003350BB">
              <w:t>12.3</w:t>
            </w:r>
          </w:p>
        </w:tc>
        <w:tc>
          <w:tcPr>
            <w:tcW w:w="2039" w:type="dxa"/>
          </w:tcPr>
          <w:p w14:paraId="057036B3" w14:textId="77777777" w:rsidR="00340A22" w:rsidRPr="003350BB" w:rsidRDefault="00340A22" w:rsidP="00340A22">
            <w:pPr>
              <w:pStyle w:val="StyleTabletextRight"/>
            </w:pPr>
            <w:r w:rsidRPr="003350BB">
              <w:t>14.7</w:t>
            </w:r>
          </w:p>
        </w:tc>
        <w:tc>
          <w:tcPr>
            <w:tcW w:w="2039" w:type="dxa"/>
            <w:vAlign w:val="bottom"/>
          </w:tcPr>
          <w:p w14:paraId="3CEF1CA3" w14:textId="2BE626DD" w:rsidR="00340A22" w:rsidRPr="003350BB" w:rsidRDefault="00340A22" w:rsidP="00340A22">
            <w:pPr>
              <w:pStyle w:val="StyleTabletextRight"/>
            </w:pPr>
            <w:r w:rsidRPr="00340A22">
              <w:t>1</w:t>
            </w:r>
            <w:r w:rsidR="004C7491">
              <w:t>9.1</w:t>
            </w:r>
          </w:p>
        </w:tc>
      </w:tr>
      <w:tr w:rsidR="00340A22" w:rsidRPr="003350BB" w14:paraId="45E40E10" w14:textId="77777777" w:rsidTr="00BD5531">
        <w:trPr>
          <w:tblHeader/>
        </w:trPr>
        <w:tc>
          <w:tcPr>
            <w:tcW w:w="2038" w:type="dxa"/>
          </w:tcPr>
          <w:p w14:paraId="41E904A4" w14:textId="77777777" w:rsidR="00340A22" w:rsidRPr="003350BB" w:rsidRDefault="00340A22" w:rsidP="00340A22">
            <w:pPr>
              <w:pStyle w:val="Tabletext"/>
            </w:pPr>
            <w:r w:rsidRPr="003350BB">
              <w:t>West</w:t>
            </w:r>
          </w:p>
        </w:tc>
        <w:tc>
          <w:tcPr>
            <w:tcW w:w="2039" w:type="dxa"/>
          </w:tcPr>
          <w:p w14:paraId="2363D4D5" w14:textId="77777777" w:rsidR="00340A22" w:rsidRPr="003350BB" w:rsidRDefault="00340A22" w:rsidP="00340A22">
            <w:pPr>
              <w:pStyle w:val="StyleTabletextRight"/>
            </w:pPr>
            <w:r w:rsidRPr="003350BB">
              <w:t>15.8</w:t>
            </w:r>
          </w:p>
        </w:tc>
        <w:tc>
          <w:tcPr>
            <w:tcW w:w="2039" w:type="dxa"/>
          </w:tcPr>
          <w:p w14:paraId="47E8AD45" w14:textId="77777777" w:rsidR="00340A22" w:rsidRPr="003350BB" w:rsidRDefault="00340A22" w:rsidP="00340A22">
            <w:pPr>
              <w:pStyle w:val="StyleTabletextRight"/>
            </w:pPr>
            <w:r w:rsidRPr="003350BB">
              <w:t>14.4</w:t>
            </w:r>
          </w:p>
        </w:tc>
        <w:tc>
          <w:tcPr>
            <w:tcW w:w="2039" w:type="dxa"/>
          </w:tcPr>
          <w:p w14:paraId="444C0B41" w14:textId="77777777" w:rsidR="00340A22" w:rsidRPr="003350BB" w:rsidRDefault="00340A22" w:rsidP="00340A22">
            <w:pPr>
              <w:pStyle w:val="StyleTabletextRight"/>
            </w:pPr>
            <w:r w:rsidRPr="003350BB">
              <w:t>12.1</w:t>
            </w:r>
          </w:p>
        </w:tc>
        <w:tc>
          <w:tcPr>
            <w:tcW w:w="2039" w:type="dxa"/>
            <w:vAlign w:val="bottom"/>
          </w:tcPr>
          <w:p w14:paraId="345898A0" w14:textId="38AC7A3E" w:rsidR="00340A22" w:rsidRPr="003350BB" w:rsidRDefault="00A36C90" w:rsidP="00340A22">
            <w:pPr>
              <w:pStyle w:val="StyleTabletextRight"/>
            </w:pPr>
            <w:r>
              <w:t>15.0</w:t>
            </w:r>
          </w:p>
        </w:tc>
      </w:tr>
    </w:tbl>
    <w:p w14:paraId="10A60438" w14:textId="77777777" w:rsidR="005F5C52" w:rsidRDefault="005F5C52" w:rsidP="00972370">
      <w:pPr>
        <w:pStyle w:val="Heading1"/>
      </w:pPr>
      <w:bookmarkStart w:id="4" w:name="_Toc141344177"/>
      <w:r w:rsidRPr="000B6D03">
        <w:t>Child protection investigations assessed as urgent that were visited or attempts were made to visit within two days of receipt of report</w:t>
      </w:r>
      <w:bookmarkEnd w:id="4"/>
    </w:p>
    <w:p w14:paraId="4BFC9C9A" w14:textId="77777777" w:rsidR="005F5C52" w:rsidRDefault="005F5C52" w:rsidP="005F5C52">
      <w:pPr>
        <w:pStyle w:val="Body"/>
      </w:pPr>
      <w:r>
        <w:t>State result includes Statewide Services and Central After-Hours Service.</w:t>
      </w:r>
    </w:p>
    <w:p w14:paraId="3510ABFE" w14:textId="77777777" w:rsidR="005F5C52" w:rsidRDefault="005F5C52" w:rsidP="00F55EC5">
      <w:pPr>
        <w:pStyle w:val="Tablecaption"/>
      </w:pPr>
      <w:r>
        <w:t xml:space="preserve">Quarter. Unit of measure: per cent. </w:t>
      </w:r>
    </w:p>
    <w:tbl>
      <w:tblPr>
        <w:tblStyle w:val="TableGrid"/>
        <w:tblW w:w="0" w:type="auto"/>
        <w:tblLook w:val="04A0" w:firstRow="1" w:lastRow="0" w:firstColumn="1" w:lastColumn="0" w:noHBand="0" w:noVBand="1"/>
      </w:tblPr>
      <w:tblGrid>
        <w:gridCol w:w="2038"/>
        <w:gridCol w:w="2039"/>
        <w:gridCol w:w="2039"/>
        <w:gridCol w:w="2039"/>
        <w:gridCol w:w="2039"/>
      </w:tblGrid>
      <w:tr w:rsidR="00023BA9" w:rsidRPr="00023BA9" w14:paraId="62BE02F7" w14:textId="77777777" w:rsidTr="009D0518">
        <w:trPr>
          <w:tblHeader/>
        </w:trPr>
        <w:tc>
          <w:tcPr>
            <w:tcW w:w="2038" w:type="dxa"/>
          </w:tcPr>
          <w:p w14:paraId="0E7B1E1C" w14:textId="77777777" w:rsidR="00023BA9" w:rsidRPr="00023BA9" w:rsidRDefault="00023BA9" w:rsidP="00F55EC5">
            <w:pPr>
              <w:pStyle w:val="Tablecolhead"/>
            </w:pPr>
            <w:r w:rsidRPr="00023BA9">
              <w:t>Division</w:t>
            </w:r>
          </w:p>
        </w:tc>
        <w:tc>
          <w:tcPr>
            <w:tcW w:w="2039" w:type="dxa"/>
          </w:tcPr>
          <w:p w14:paraId="243EE187" w14:textId="77777777" w:rsidR="00023BA9" w:rsidRPr="00023BA9" w:rsidRDefault="00023BA9" w:rsidP="00CF3794">
            <w:pPr>
              <w:pStyle w:val="Tablecolhead"/>
              <w:jc w:val="right"/>
            </w:pPr>
            <w:r w:rsidRPr="00023BA9">
              <w:t>September 2022</w:t>
            </w:r>
          </w:p>
        </w:tc>
        <w:tc>
          <w:tcPr>
            <w:tcW w:w="2039" w:type="dxa"/>
          </w:tcPr>
          <w:p w14:paraId="1B5ECB37" w14:textId="77777777" w:rsidR="00023BA9" w:rsidRPr="00023BA9" w:rsidRDefault="00023BA9" w:rsidP="00CF3794">
            <w:pPr>
              <w:pStyle w:val="Tablecolhead"/>
              <w:jc w:val="right"/>
            </w:pPr>
            <w:r w:rsidRPr="00023BA9">
              <w:t>December 2022</w:t>
            </w:r>
          </w:p>
        </w:tc>
        <w:tc>
          <w:tcPr>
            <w:tcW w:w="2039" w:type="dxa"/>
          </w:tcPr>
          <w:p w14:paraId="1EA6C849" w14:textId="77777777" w:rsidR="00023BA9" w:rsidRPr="00023BA9" w:rsidRDefault="00023BA9" w:rsidP="00CF3794">
            <w:pPr>
              <w:pStyle w:val="Tablecolhead"/>
              <w:jc w:val="right"/>
            </w:pPr>
            <w:r w:rsidRPr="00023BA9">
              <w:t>March 2023</w:t>
            </w:r>
          </w:p>
        </w:tc>
        <w:tc>
          <w:tcPr>
            <w:tcW w:w="2039" w:type="dxa"/>
          </w:tcPr>
          <w:p w14:paraId="7F5E610C" w14:textId="77777777" w:rsidR="00023BA9" w:rsidRPr="00023BA9" w:rsidRDefault="00023BA9" w:rsidP="00CF3794">
            <w:pPr>
              <w:pStyle w:val="Tablecolhead"/>
              <w:jc w:val="right"/>
            </w:pPr>
            <w:r w:rsidRPr="00023BA9">
              <w:t>June 2023</w:t>
            </w:r>
          </w:p>
        </w:tc>
      </w:tr>
      <w:tr w:rsidR="006A467D" w:rsidRPr="00023BA9" w14:paraId="693B2C9F" w14:textId="77777777">
        <w:trPr>
          <w:tblHeader/>
        </w:trPr>
        <w:tc>
          <w:tcPr>
            <w:tcW w:w="2038" w:type="dxa"/>
            <w:shd w:val="clear" w:color="auto" w:fill="DAEEF3" w:themeFill="accent5" w:themeFillTint="33"/>
          </w:tcPr>
          <w:p w14:paraId="2E84B671" w14:textId="77777777" w:rsidR="006A467D" w:rsidRPr="00023BA9" w:rsidRDefault="006A467D" w:rsidP="006A467D">
            <w:pPr>
              <w:pStyle w:val="Tabletext"/>
            </w:pPr>
            <w:r w:rsidRPr="00023BA9">
              <w:t>State</w:t>
            </w:r>
          </w:p>
        </w:tc>
        <w:tc>
          <w:tcPr>
            <w:tcW w:w="2039" w:type="dxa"/>
            <w:shd w:val="clear" w:color="auto" w:fill="DAEEF3" w:themeFill="accent5" w:themeFillTint="33"/>
            <w:vAlign w:val="center"/>
          </w:tcPr>
          <w:p w14:paraId="3457D86E" w14:textId="2967D789" w:rsidR="006A467D" w:rsidRPr="00023BA9" w:rsidRDefault="006A467D" w:rsidP="006A467D">
            <w:pPr>
              <w:pStyle w:val="StyleTabletextRight"/>
            </w:pPr>
            <w:r w:rsidRPr="00023BA9">
              <w:t>91.5</w:t>
            </w:r>
          </w:p>
        </w:tc>
        <w:tc>
          <w:tcPr>
            <w:tcW w:w="2039" w:type="dxa"/>
            <w:shd w:val="clear" w:color="auto" w:fill="DAEEF3" w:themeFill="accent5" w:themeFillTint="33"/>
            <w:vAlign w:val="center"/>
          </w:tcPr>
          <w:p w14:paraId="2916C376" w14:textId="7BDF8D07" w:rsidR="006A467D" w:rsidRPr="00023BA9" w:rsidRDefault="006A467D" w:rsidP="006A467D">
            <w:pPr>
              <w:pStyle w:val="StyleTabletextRight"/>
            </w:pPr>
            <w:r w:rsidRPr="00023BA9">
              <w:t>91.</w:t>
            </w:r>
            <w:r w:rsidR="00C36600" w:rsidRPr="00C36600">
              <w:t>2</w:t>
            </w:r>
          </w:p>
        </w:tc>
        <w:tc>
          <w:tcPr>
            <w:tcW w:w="2039" w:type="dxa"/>
            <w:shd w:val="clear" w:color="auto" w:fill="DAEEF3" w:themeFill="accent5" w:themeFillTint="33"/>
            <w:vAlign w:val="center"/>
          </w:tcPr>
          <w:p w14:paraId="695554FD" w14:textId="04547174" w:rsidR="006A467D" w:rsidRPr="00023BA9" w:rsidRDefault="006A467D" w:rsidP="006A467D">
            <w:pPr>
              <w:pStyle w:val="StyleTabletextRight"/>
            </w:pPr>
            <w:r w:rsidRPr="00023BA9">
              <w:t>93.5</w:t>
            </w:r>
          </w:p>
        </w:tc>
        <w:tc>
          <w:tcPr>
            <w:tcW w:w="2039" w:type="dxa"/>
            <w:shd w:val="clear" w:color="auto" w:fill="DAEEF3" w:themeFill="accent5" w:themeFillTint="33"/>
            <w:vAlign w:val="center"/>
          </w:tcPr>
          <w:p w14:paraId="09AA66EC" w14:textId="418629F8" w:rsidR="006A467D" w:rsidRPr="00A50EDF" w:rsidRDefault="007A453D" w:rsidP="007A453D">
            <w:pPr>
              <w:pStyle w:val="StyleTabletextRight"/>
            </w:pPr>
            <w:r w:rsidRPr="00A50EDF">
              <w:t>92.6</w:t>
            </w:r>
          </w:p>
        </w:tc>
      </w:tr>
      <w:tr w:rsidR="006A467D" w:rsidRPr="00023BA9" w14:paraId="4A85502B" w14:textId="77777777">
        <w:trPr>
          <w:tblHeader/>
        </w:trPr>
        <w:tc>
          <w:tcPr>
            <w:tcW w:w="2038" w:type="dxa"/>
          </w:tcPr>
          <w:p w14:paraId="1E2BB524" w14:textId="77777777" w:rsidR="006A467D" w:rsidRPr="00023BA9" w:rsidRDefault="006A467D" w:rsidP="006A467D">
            <w:pPr>
              <w:pStyle w:val="Tabletext"/>
            </w:pPr>
            <w:r w:rsidRPr="00023BA9">
              <w:t>North</w:t>
            </w:r>
          </w:p>
        </w:tc>
        <w:tc>
          <w:tcPr>
            <w:tcW w:w="2039" w:type="dxa"/>
            <w:vAlign w:val="center"/>
          </w:tcPr>
          <w:p w14:paraId="0DD0F6B4" w14:textId="77998833" w:rsidR="006A467D" w:rsidRPr="00023BA9" w:rsidRDefault="006A467D" w:rsidP="006A467D">
            <w:pPr>
              <w:pStyle w:val="StyleTabletextRight"/>
            </w:pPr>
            <w:r w:rsidRPr="00023BA9">
              <w:t>90.4</w:t>
            </w:r>
          </w:p>
        </w:tc>
        <w:tc>
          <w:tcPr>
            <w:tcW w:w="2039" w:type="dxa"/>
            <w:vAlign w:val="center"/>
          </w:tcPr>
          <w:p w14:paraId="24951BF4" w14:textId="3867B0F7" w:rsidR="006A467D" w:rsidRPr="00023BA9" w:rsidRDefault="006A467D" w:rsidP="006A467D">
            <w:pPr>
              <w:pStyle w:val="StyleTabletextRight"/>
            </w:pPr>
            <w:r w:rsidRPr="00023BA9">
              <w:t>94.0</w:t>
            </w:r>
          </w:p>
        </w:tc>
        <w:tc>
          <w:tcPr>
            <w:tcW w:w="2039" w:type="dxa"/>
            <w:vAlign w:val="center"/>
          </w:tcPr>
          <w:p w14:paraId="075E1AD6" w14:textId="05CC753A" w:rsidR="006A467D" w:rsidRPr="00023BA9" w:rsidRDefault="006A467D" w:rsidP="006A467D">
            <w:pPr>
              <w:pStyle w:val="StyleTabletextRight"/>
            </w:pPr>
            <w:r w:rsidRPr="00023BA9">
              <w:t>94.7</w:t>
            </w:r>
          </w:p>
        </w:tc>
        <w:tc>
          <w:tcPr>
            <w:tcW w:w="2039" w:type="dxa"/>
            <w:vAlign w:val="center"/>
          </w:tcPr>
          <w:p w14:paraId="40384A40" w14:textId="7C8BBFF6" w:rsidR="006A467D" w:rsidRPr="00A50EDF" w:rsidRDefault="006A467D" w:rsidP="007A453D">
            <w:pPr>
              <w:pStyle w:val="StyleTabletextRight"/>
            </w:pPr>
            <w:r w:rsidRPr="00A50EDF">
              <w:t>90.5</w:t>
            </w:r>
          </w:p>
        </w:tc>
      </w:tr>
      <w:tr w:rsidR="006A467D" w:rsidRPr="00023BA9" w14:paraId="7A03B0C4" w14:textId="77777777">
        <w:trPr>
          <w:tblHeader/>
        </w:trPr>
        <w:tc>
          <w:tcPr>
            <w:tcW w:w="2038" w:type="dxa"/>
          </w:tcPr>
          <w:p w14:paraId="77615011" w14:textId="77777777" w:rsidR="006A467D" w:rsidRPr="00023BA9" w:rsidRDefault="006A467D" w:rsidP="006A467D">
            <w:pPr>
              <w:pStyle w:val="Tabletext"/>
            </w:pPr>
            <w:r w:rsidRPr="00023BA9">
              <w:t>South</w:t>
            </w:r>
          </w:p>
        </w:tc>
        <w:tc>
          <w:tcPr>
            <w:tcW w:w="2039" w:type="dxa"/>
            <w:vAlign w:val="center"/>
          </w:tcPr>
          <w:p w14:paraId="6B49A332" w14:textId="6C5F9E3B" w:rsidR="006A467D" w:rsidRPr="00023BA9" w:rsidRDefault="006A467D" w:rsidP="006A467D">
            <w:pPr>
              <w:pStyle w:val="StyleTabletextRight"/>
            </w:pPr>
            <w:r w:rsidRPr="00023BA9">
              <w:t>97.3</w:t>
            </w:r>
          </w:p>
        </w:tc>
        <w:tc>
          <w:tcPr>
            <w:tcW w:w="2039" w:type="dxa"/>
            <w:vAlign w:val="center"/>
          </w:tcPr>
          <w:p w14:paraId="03069B4C" w14:textId="40ABE87B" w:rsidR="006A467D" w:rsidRPr="00023BA9" w:rsidRDefault="006A467D" w:rsidP="006A467D">
            <w:pPr>
              <w:pStyle w:val="StyleTabletextRight"/>
            </w:pPr>
            <w:r w:rsidRPr="00023BA9">
              <w:t>97.7</w:t>
            </w:r>
          </w:p>
        </w:tc>
        <w:tc>
          <w:tcPr>
            <w:tcW w:w="2039" w:type="dxa"/>
            <w:vAlign w:val="center"/>
          </w:tcPr>
          <w:p w14:paraId="2F8055E7" w14:textId="6121F0DD" w:rsidR="006A467D" w:rsidRPr="00023BA9" w:rsidRDefault="006A467D" w:rsidP="006A467D">
            <w:pPr>
              <w:pStyle w:val="StyleTabletextRight"/>
            </w:pPr>
            <w:r w:rsidRPr="00023BA9">
              <w:t>95.1</w:t>
            </w:r>
          </w:p>
        </w:tc>
        <w:tc>
          <w:tcPr>
            <w:tcW w:w="2039" w:type="dxa"/>
            <w:vAlign w:val="center"/>
          </w:tcPr>
          <w:p w14:paraId="696C4799" w14:textId="58C17EAF" w:rsidR="006A467D" w:rsidRPr="00A50EDF" w:rsidRDefault="006A467D" w:rsidP="007A453D">
            <w:pPr>
              <w:pStyle w:val="StyleTabletextRight"/>
            </w:pPr>
            <w:r w:rsidRPr="00A50EDF">
              <w:t>96.3</w:t>
            </w:r>
          </w:p>
        </w:tc>
      </w:tr>
      <w:tr w:rsidR="006A467D" w:rsidRPr="00023BA9" w14:paraId="6106FAA9" w14:textId="77777777">
        <w:trPr>
          <w:tblHeader/>
        </w:trPr>
        <w:tc>
          <w:tcPr>
            <w:tcW w:w="2038" w:type="dxa"/>
          </w:tcPr>
          <w:p w14:paraId="7AA13687" w14:textId="77777777" w:rsidR="006A467D" w:rsidRPr="00023BA9" w:rsidRDefault="006A467D" w:rsidP="006A467D">
            <w:pPr>
              <w:pStyle w:val="Tabletext"/>
            </w:pPr>
            <w:r w:rsidRPr="00023BA9">
              <w:t>East</w:t>
            </w:r>
          </w:p>
        </w:tc>
        <w:tc>
          <w:tcPr>
            <w:tcW w:w="2039" w:type="dxa"/>
            <w:vAlign w:val="center"/>
          </w:tcPr>
          <w:p w14:paraId="15B5C578" w14:textId="2F7884A7" w:rsidR="006A467D" w:rsidRPr="00023BA9" w:rsidRDefault="006A467D" w:rsidP="006A467D">
            <w:pPr>
              <w:pStyle w:val="StyleTabletextRight"/>
            </w:pPr>
            <w:r w:rsidRPr="00023BA9">
              <w:t>96.2</w:t>
            </w:r>
          </w:p>
        </w:tc>
        <w:tc>
          <w:tcPr>
            <w:tcW w:w="2039" w:type="dxa"/>
            <w:vAlign w:val="center"/>
          </w:tcPr>
          <w:p w14:paraId="796539C6" w14:textId="4F11751C" w:rsidR="006A467D" w:rsidRPr="00023BA9" w:rsidRDefault="006A467D" w:rsidP="006A467D">
            <w:pPr>
              <w:pStyle w:val="StyleTabletextRight"/>
            </w:pPr>
            <w:r w:rsidRPr="00023BA9">
              <w:t>95.4</w:t>
            </w:r>
          </w:p>
        </w:tc>
        <w:tc>
          <w:tcPr>
            <w:tcW w:w="2039" w:type="dxa"/>
            <w:vAlign w:val="center"/>
          </w:tcPr>
          <w:p w14:paraId="3B664F13" w14:textId="3B7E395D" w:rsidR="006A467D" w:rsidRPr="00023BA9" w:rsidRDefault="006A467D" w:rsidP="006A467D">
            <w:pPr>
              <w:pStyle w:val="StyleTabletextRight"/>
            </w:pPr>
            <w:r w:rsidRPr="00023BA9">
              <w:t>94.4</w:t>
            </w:r>
          </w:p>
        </w:tc>
        <w:tc>
          <w:tcPr>
            <w:tcW w:w="2039" w:type="dxa"/>
            <w:vAlign w:val="center"/>
          </w:tcPr>
          <w:p w14:paraId="5EF46657" w14:textId="516025B0" w:rsidR="006A467D" w:rsidRPr="00A50EDF" w:rsidRDefault="006A467D" w:rsidP="007A453D">
            <w:pPr>
              <w:pStyle w:val="StyleTabletextRight"/>
            </w:pPr>
            <w:r w:rsidRPr="00A50EDF">
              <w:t>96.6</w:t>
            </w:r>
          </w:p>
        </w:tc>
      </w:tr>
      <w:tr w:rsidR="006A467D" w:rsidRPr="00023BA9" w14:paraId="2325F945" w14:textId="77777777">
        <w:trPr>
          <w:tblHeader/>
        </w:trPr>
        <w:tc>
          <w:tcPr>
            <w:tcW w:w="2038" w:type="dxa"/>
          </w:tcPr>
          <w:p w14:paraId="63CB042D" w14:textId="77777777" w:rsidR="006A467D" w:rsidRPr="00023BA9" w:rsidRDefault="006A467D" w:rsidP="006A467D">
            <w:pPr>
              <w:pStyle w:val="Tabletext"/>
            </w:pPr>
            <w:r w:rsidRPr="00023BA9">
              <w:t>West</w:t>
            </w:r>
          </w:p>
        </w:tc>
        <w:tc>
          <w:tcPr>
            <w:tcW w:w="2039" w:type="dxa"/>
            <w:vAlign w:val="center"/>
          </w:tcPr>
          <w:p w14:paraId="7E6C29EE" w14:textId="5CD3FB8D" w:rsidR="006A467D" w:rsidRPr="00023BA9" w:rsidRDefault="006A467D" w:rsidP="006A467D">
            <w:pPr>
              <w:pStyle w:val="StyleTabletextRight"/>
            </w:pPr>
            <w:r w:rsidRPr="00023BA9">
              <w:t>92.1</w:t>
            </w:r>
          </w:p>
        </w:tc>
        <w:tc>
          <w:tcPr>
            <w:tcW w:w="2039" w:type="dxa"/>
            <w:vAlign w:val="center"/>
          </w:tcPr>
          <w:p w14:paraId="16918BC5" w14:textId="2C5F5758" w:rsidR="006A467D" w:rsidRPr="00023BA9" w:rsidRDefault="006A467D" w:rsidP="006A467D">
            <w:pPr>
              <w:pStyle w:val="StyleTabletextRight"/>
            </w:pPr>
            <w:r w:rsidRPr="00023BA9">
              <w:t>95.8</w:t>
            </w:r>
          </w:p>
        </w:tc>
        <w:tc>
          <w:tcPr>
            <w:tcW w:w="2039" w:type="dxa"/>
            <w:vAlign w:val="center"/>
          </w:tcPr>
          <w:p w14:paraId="68ABC53A" w14:textId="71EB4371" w:rsidR="006A467D" w:rsidRPr="00023BA9" w:rsidRDefault="006A467D" w:rsidP="006A467D">
            <w:pPr>
              <w:pStyle w:val="StyleTabletextRight"/>
            </w:pPr>
            <w:r w:rsidRPr="00023BA9">
              <w:t>97.8</w:t>
            </w:r>
          </w:p>
        </w:tc>
        <w:tc>
          <w:tcPr>
            <w:tcW w:w="2039" w:type="dxa"/>
            <w:vAlign w:val="center"/>
          </w:tcPr>
          <w:p w14:paraId="20BA38E9" w14:textId="462FC025" w:rsidR="006A467D" w:rsidRPr="00A50EDF" w:rsidRDefault="006A467D" w:rsidP="007A453D">
            <w:pPr>
              <w:pStyle w:val="StyleTabletextRight"/>
            </w:pPr>
            <w:r w:rsidRPr="00A50EDF">
              <w:t>9</w:t>
            </w:r>
            <w:r w:rsidR="00E42BA7" w:rsidRPr="00A50EDF">
              <w:t>7</w:t>
            </w:r>
            <w:r w:rsidR="00111044" w:rsidRPr="00A50EDF">
              <w:t>.1</w:t>
            </w:r>
          </w:p>
        </w:tc>
      </w:tr>
    </w:tbl>
    <w:p w14:paraId="2922F636" w14:textId="77777777" w:rsidR="005F5C52" w:rsidRDefault="005F5C52" w:rsidP="00D31BF6">
      <w:pPr>
        <w:pStyle w:val="Heading1"/>
      </w:pPr>
      <w:bookmarkStart w:id="5" w:name="_Toc141344178"/>
      <w:r>
        <w:t>Children and young people who were the subject of an investigation which led to a decision not to substantiate, who were subsequently the subject of a substantiation within three months of case closure</w:t>
      </w:r>
      <w:bookmarkEnd w:id="5"/>
    </w:p>
    <w:p w14:paraId="3D4C34B5" w14:textId="77777777" w:rsidR="005F5C52" w:rsidRPr="00972370" w:rsidRDefault="005F5C52" w:rsidP="001C543E">
      <w:pPr>
        <w:pStyle w:val="Body"/>
      </w:pPr>
      <w:r w:rsidRPr="00972370">
        <w:t>State result includes Statewide Services and Central After-Hours Service.</w:t>
      </w:r>
    </w:p>
    <w:p w14:paraId="2F8EDB59" w14:textId="77777777" w:rsidR="005F5C52" w:rsidRDefault="005F5C52" w:rsidP="00D31BF6">
      <w:pPr>
        <w:pStyle w:val="Tablecaption"/>
      </w:pPr>
      <w:r>
        <w:t>Financial year to date (YTD).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023BA9" w:rsidRPr="00D31BF6" w14:paraId="779F5A10" w14:textId="77777777" w:rsidTr="00D31BF6">
        <w:trPr>
          <w:tblHeader/>
        </w:trPr>
        <w:tc>
          <w:tcPr>
            <w:tcW w:w="2038" w:type="dxa"/>
          </w:tcPr>
          <w:p w14:paraId="0B9D8FD7" w14:textId="77777777" w:rsidR="00023BA9" w:rsidRPr="00D31BF6" w:rsidRDefault="00023BA9" w:rsidP="00D31BF6">
            <w:pPr>
              <w:pStyle w:val="Tablecolhead"/>
            </w:pPr>
            <w:r w:rsidRPr="00D31BF6">
              <w:t>Division</w:t>
            </w:r>
          </w:p>
        </w:tc>
        <w:tc>
          <w:tcPr>
            <w:tcW w:w="2039" w:type="dxa"/>
          </w:tcPr>
          <w:p w14:paraId="36A3CF4C" w14:textId="77777777" w:rsidR="00023BA9" w:rsidRPr="00D31BF6" w:rsidRDefault="00023BA9" w:rsidP="00CF3794">
            <w:pPr>
              <w:pStyle w:val="Tablecolhead"/>
              <w:jc w:val="right"/>
            </w:pPr>
            <w:r w:rsidRPr="00D31BF6">
              <w:t>September 2022</w:t>
            </w:r>
          </w:p>
        </w:tc>
        <w:tc>
          <w:tcPr>
            <w:tcW w:w="2039" w:type="dxa"/>
          </w:tcPr>
          <w:p w14:paraId="4554662F" w14:textId="77777777" w:rsidR="00023BA9" w:rsidRPr="00D31BF6" w:rsidRDefault="00023BA9" w:rsidP="00CF3794">
            <w:pPr>
              <w:pStyle w:val="Tablecolhead"/>
              <w:jc w:val="right"/>
            </w:pPr>
            <w:r w:rsidRPr="00D31BF6">
              <w:t>December 2022</w:t>
            </w:r>
          </w:p>
        </w:tc>
        <w:tc>
          <w:tcPr>
            <w:tcW w:w="2039" w:type="dxa"/>
          </w:tcPr>
          <w:p w14:paraId="51E0EF2B" w14:textId="77777777" w:rsidR="00023BA9" w:rsidRPr="00D31BF6" w:rsidRDefault="00023BA9" w:rsidP="00CF3794">
            <w:pPr>
              <w:pStyle w:val="Tablecolhead"/>
              <w:jc w:val="right"/>
            </w:pPr>
            <w:r w:rsidRPr="00D31BF6">
              <w:t>March 2023</w:t>
            </w:r>
          </w:p>
        </w:tc>
        <w:tc>
          <w:tcPr>
            <w:tcW w:w="2039" w:type="dxa"/>
          </w:tcPr>
          <w:p w14:paraId="3D441325" w14:textId="77777777" w:rsidR="00023BA9" w:rsidRPr="00D31BF6" w:rsidRDefault="00023BA9" w:rsidP="00CF3794">
            <w:pPr>
              <w:pStyle w:val="Tablecolhead"/>
              <w:jc w:val="right"/>
            </w:pPr>
            <w:r w:rsidRPr="00D31BF6">
              <w:t>June 2023</w:t>
            </w:r>
          </w:p>
        </w:tc>
      </w:tr>
      <w:tr w:rsidR="00CF3794" w:rsidRPr="00D31BF6" w14:paraId="2A7C9A5E" w14:textId="77777777" w:rsidTr="00E83184">
        <w:trPr>
          <w:tblHeader/>
        </w:trPr>
        <w:tc>
          <w:tcPr>
            <w:tcW w:w="2038" w:type="dxa"/>
            <w:shd w:val="clear" w:color="auto" w:fill="DAEEF3" w:themeFill="accent5" w:themeFillTint="33"/>
          </w:tcPr>
          <w:p w14:paraId="374F2008" w14:textId="77777777" w:rsidR="00CF3794" w:rsidRPr="00D31BF6" w:rsidRDefault="00CF3794" w:rsidP="00CF3794">
            <w:pPr>
              <w:pStyle w:val="Tabletext"/>
            </w:pPr>
            <w:r w:rsidRPr="00D31BF6">
              <w:t>State</w:t>
            </w:r>
          </w:p>
        </w:tc>
        <w:tc>
          <w:tcPr>
            <w:tcW w:w="2039" w:type="dxa"/>
            <w:shd w:val="clear" w:color="auto" w:fill="DAEEF3" w:themeFill="accent5" w:themeFillTint="33"/>
          </w:tcPr>
          <w:p w14:paraId="718CB56F" w14:textId="77777777" w:rsidR="00CF3794" w:rsidRPr="00D31BF6" w:rsidRDefault="00CF3794" w:rsidP="00CF3794">
            <w:pPr>
              <w:pStyle w:val="StyleTabletextRight"/>
            </w:pPr>
            <w:r w:rsidRPr="00D31BF6">
              <w:t>4.2</w:t>
            </w:r>
          </w:p>
        </w:tc>
        <w:tc>
          <w:tcPr>
            <w:tcW w:w="2039" w:type="dxa"/>
            <w:shd w:val="clear" w:color="auto" w:fill="DAEEF3" w:themeFill="accent5" w:themeFillTint="33"/>
          </w:tcPr>
          <w:p w14:paraId="3E195E0F" w14:textId="77777777" w:rsidR="00CF3794" w:rsidRPr="00D31BF6" w:rsidRDefault="00CF3794" w:rsidP="00CF3794">
            <w:pPr>
              <w:pStyle w:val="StyleTabletextRight"/>
            </w:pPr>
            <w:r w:rsidRPr="00D31BF6">
              <w:t>4.0</w:t>
            </w:r>
          </w:p>
        </w:tc>
        <w:tc>
          <w:tcPr>
            <w:tcW w:w="2039" w:type="dxa"/>
            <w:shd w:val="clear" w:color="auto" w:fill="DAEEF3" w:themeFill="accent5" w:themeFillTint="33"/>
          </w:tcPr>
          <w:p w14:paraId="6E3A2D4E" w14:textId="77777777" w:rsidR="00CF3794" w:rsidRPr="00D31BF6" w:rsidRDefault="00CF3794" w:rsidP="00CF3794">
            <w:pPr>
              <w:pStyle w:val="StyleTabletextRight"/>
            </w:pPr>
            <w:r w:rsidRPr="00D31BF6">
              <w:t>4.1</w:t>
            </w:r>
          </w:p>
        </w:tc>
        <w:tc>
          <w:tcPr>
            <w:tcW w:w="2039" w:type="dxa"/>
            <w:shd w:val="clear" w:color="auto" w:fill="DAEEF3" w:themeFill="accent5" w:themeFillTint="33"/>
          </w:tcPr>
          <w:p w14:paraId="48E8EA98" w14:textId="5E6F020F" w:rsidR="00CF3794" w:rsidRPr="00D31BF6" w:rsidRDefault="00CF3794" w:rsidP="00CF3794">
            <w:pPr>
              <w:pStyle w:val="Tabletext"/>
              <w:jc w:val="right"/>
            </w:pPr>
            <w:r w:rsidRPr="00D20BBB">
              <w:t>3.8</w:t>
            </w:r>
          </w:p>
        </w:tc>
      </w:tr>
      <w:tr w:rsidR="00CF3794" w:rsidRPr="00D31BF6" w14:paraId="7BDF12CA" w14:textId="77777777" w:rsidTr="00D31BF6">
        <w:trPr>
          <w:tblHeader/>
        </w:trPr>
        <w:tc>
          <w:tcPr>
            <w:tcW w:w="2038" w:type="dxa"/>
          </w:tcPr>
          <w:p w14:paraId="093AD720" w14:textId="77777777" w:rsidR="00CF3794" w:rsidRPr="00D31BF6" w:rsidRDefault="00CF3794" w:rsidP="00CF3794">
            <w:pPr>
              <w:pStyle w:val="Tabletext"/>
            </w:pPr>
            <w:r w:rsidRPr="00D31BF6">
              <w:t>North</w:t>
            </w:r>
          </w:p>
        </w:tc>
        <w:tc>
          <w:tcPr>
            <w:tcW w:w="2039" w:type="dxa"/>
          </w:tcPr>
          <w:p w14:paraId="315BAB56" w14:textId="77777777" w:rsidR="00CF3794" w:rsidRPr="00D31BF6" w:rsidRDefault="00CF3794" w:rsidP="00CF3794">
            <w:pPr>
              <w:pStyle w:val="StyleTabletextRight"/>
            </w:pPr>
            <w:r w:rsidRPr="00D31BF6">
              <w:t>2.1</w:t>
            </w:r>
          </w:p>
        </w:tc>
        <w:tc>
          <w:tcPr>
            <w:tcW w:w="2039" w:type="dxa"/>
          </w:tcPr>
          <w:p w14:paraId="24C8CB60" w14:textId="77777777" w:rsidR="00CF3794" w:rsidRPr="00D31BF6" w:rsidRDefault="00CF3794" w:rsidP="00CF3794">
            <w:pPr>
              <w:pStyle w:val="StyleTabletextRight"/>
            </w:pPr>
            <w:r w:rsidRPr="00D31BF6">
              <w:t>3.8</w:t>
            </w:r>
          </w:p>
        </w:tc>
        <w:tc>
          <w:tcPr>
            <w:tcW w:w="2039" w:type="dxa"/>
          </w:tcPr>
          <w:p w14:paraId="462EE024" w14:textId="77777777" w:rsidR="00CF3794" w:rsidRPr="00D31BF6" w:rsidRDefault="00CF3794" w:rsidP="00CF3794">
            <w:pPr>
              <w:pStyle w:val="StyleTabletextRight"/>
            </w:pPr>
            <w:r w:rsidRPr="00D31BF6">
              <w:t>3.2</w:t>
            </w:r>
          </w:p>
        </w:tc>
        <w:tc>
          <w:tcPr>
            <w:tcW w:w="2039" w:type="dxa"/>
          </w:tcPr>
          <w:p w14:paraId="0F599CBF" w14:textId="63AED755" w:rsidR="00CF3794" w:rsidRPr="00D31BF6" w:rsidRDefault="00CF3794" w:rsidP="00CF3794">
            <w:pPr>
              <w:pStyle w:val="Tabletext"/>
              <w:jc w:val="right"/>
            </w:pPr>
            <w:r w:rsidRPr="00D20BBB">
              <w:t>2.9</w:t>
            </w:r>
          </w:p>
        </w:tc>
      </w:tr>
      <w:tr w:rsidR="00CF3794" w:rsidRPr="00D31BF6" w14:paraId="5C0E24E9" w14:textId="77777777" w:rsidTr="00D31BF6">
        <w:trPr>
          <w:tblHeader/>
        </w:trPr>
        <w:tc>
          <w:tcPr>
            <w:tcW w:w="2038" w:type="dxa"/>
          </w:tcPr>
          <w:p w14:paraId="37E0D38F" w14:textId="77777777" w:rsidR="00CF3794" w:rsidRPr="00D31BF6" w:rsidRDefault="00CF3794" w:rsidP="00CF3794">
            <w:pPr>
              <w:pStyle w:val="Tabletext"/>
            </w:pPr>
            <w:r w:rsidRPr="00D31BF6">
              <w:t>South</w:t>
            </w:r>
          </w:p>
        </w:tc>
        <w:tc>
          <w:tcPr>
            <w:tcW w:w="2039" w:type="dxa"/>
          </w:tcPr>
          <w:p w14:paraId="4720D84F" w14:textId="77777777" w:rsidR="00CF3794" w:rsidRPr="00D31BF6" w:rsidRDefault="00CF3794" w:rsidP="00CF3794">
            <w:pPr>
              <w:pStyle w:val="StyleTabletextRight"/>
            </w:pPr>
            <w:r w:rsidRPr="00D31BF6">
              <w:t>5.4</w:t>
            </w:r>
          </w:p>
        </w:tc>
        <w:tc>
          <w:tcPr>
            <w:tcW w:w="2039" w:type="dxa"/>
          </w:tcPr>
          <w:p w14:paraId="521733DA" w14:textId="77777777" w:rsidR="00CF3794" w:rsidRPr="00D31BF6" w:rsidRDefault="00CF3794" w:rsidP="00CF3794">
            <w:pPr>
              <w:pStyle w:val="StyleTabletextRight"/>
            </w:pPr>
            <w:r w:rsidRPr="00D31BF6">
              <w:t>4.7</w:t>
            </w:r>
          </w:p>
        </w:tc>
        <w:tc>
          <w:tcPr>
            <w:tcW w:w="2039" w:type="dxa"/>
          </w:tcPr>
          <w:p w14:paraId="5F2D1446" w14:textId="77777777" w:rsidR="00CF3794" w:rsidRPr="00D31BF6" w:rsidRDefault="00CF3794" w:rsidP="00CF3794">
            <w:pPr>
              <w:pStyle w:val="StyleTabletextRight"/>
            </w:pPr>
            <w:r w:rsidRPr="00D31BF6">
              <w:t>4.6</w:t>
            </w:r>
          </w:p>
        </w:tc>
        <w:tc>
          <w:tcPr>
            <w:tcW w:w="2039" w:type="dxa"/>
          </w:tcPr>
          <w:p w14:paraId="5F6FB8B7" w14:textId="4587C892" w:rsidR="00CF3794" w:rsidRPr="00D31BF6" w:rsidRDefault="00CF3794" w:rsidP="00CF3794">
            <w:pPr>
              <w:pStyle w:val="Tabletext"/>
              <w:jc w:val="right"/>
            </w:pPr>
            <w:r w:rsidRPr="00D20BBB">
              <w:t>4.4</w:t>
            </w:r>
          </w:p>
        </w:tc>
      </w:tr>
      <w:tr w:rsidR="00CF3794" w:rsidRPr="00D31BF6" w14:paraId="0992ABD9" w14:textId="77777777" w:rsidTr="00D31BF6">
        <w:trPr>
          <w:tblHeader/>
        </w:trPr>
        <w:tc>
          <w:tcPr>
            <w:tcW w:w="2038" w:type="dxa"/>
          </w:tcPr>
          <w:p w14:paraId="25AAF615" w14:textId="77777777" w:rsidR="00CF3794" w:rsidRPr="00D31BF6" w:rsidRDefault="00CF3794" w:rsidP="00CF3794">
            <w:pPr>
              <w:pStyle w:val="Tabletext"/>
            </w:pPr>
            <w:r w:rsidRPr="00D31BF6">
              <w:t>East</w:t>
            </w:r>
          </w:p>
        </w:tc>
        <w:tc>
          <w:tcPr>
            <w:tcW w:w="2039" w:type="dxa"/>
          </w:tcPr>
          <w:p w14:paraId="2AAF4BA3" w14:textId="77777777" w:rsidR="00CF3794" w:rsidRPr="00D31BF6" w:rsidRDefault="00CF3794" w:rsidP="00CF3794">
            <w:pPr>
              <w:pStyle w:val="StyleTabletextRight"/>
            </w:pPr>
            <w:r w:rsidRPr="00D31BF6">
              <w:t>5.8</w:t>
            </w:r>
          </w:p>
        </w:tc>
        <w:tc>
          <w:tcPr>
            <w:tcW w:w="2039" w:type="dxa"/>
          </w:tcPr>
          <w:p w14:paraId="21F5750C" w14:textId="77777777" w:rsidR="00CF3794" w:rsidRPr="00D31BF6" w:rsidRDefault="00CF3794" w:rsidP="00CF3794">
            <w:pPr>
              <w:pStyle w:val="StyleTabletextRight"/>
            </w:pPr>
            <w:r w:rsidRPr="00D31BF6">
              <w:t>5.1</w:t>
            </w:r>
          </w:p>
        </w:tc>
        <w:tc>
          <w:tcPr>
            <w:tcW w:w="2039" w:type="dxa"/>
          </w:tcPr>
          <w:p w14:paraId="6098161D" w14:textId="77777777" w:rsidR="00CF3794" w:rsidRPr="00D31BF6" w:rsidRDefault="00CF3794" w:rsidP="00CF3794">
            <w:pPr>
              <w:pStyle w:val="StyleTabletextRight"/>
            </w:pPr>
            <w:r w:rsidRPr="00D31BF6">
              <w:t>6.0</w:t>
            </w:r>
          </w:p>
        </w:tc>
        <w:tc>
          <w:tcPr>
            <w:tcW w:w="2039" w:type="dxa"/>
          </w:tcPr>
          <w:p w14:paraId="45953EAF" w14:textId="05266A13" w:rsidR="00CF3794" w:rsidRPr="00D31BF6" w:rsidRDefault="00CF3794" w:rsidP="00CF3794">
            <w:pPr>
              <w:pStyle w:val="Tabletext"/>
              <w:jc w:val="right"/>
            </w:pPr>
            <w:r w:rsidRPr="00D20BBB">
              <w:t>4.8</w:t>
            </w:r>
          </w:p>
        </w:tc>
      </w:tr>
      <w:tr w:rsidR="00CF3794" w:rsidRPr="00D31BF6" w14:paraId="29CCC998" w14:textId="77777777" w:rsidTr="00D31BF6">
        <w:trPr>
          <w:tblHeader/>
        </w:trPr>
        <w:tc>
          <w:tcPr>
            <w:tcW w:w="2038" w:type="dxa"/>
          </w:tcPr>
          <w:p w14:paraId="5AD7695D" w14:textId="77777777" w:rsidR="00CF3794" w:rsidRPr="00D31BF6" w:rsidRDefault="00CF3794" w:rsidP="00CF3794">
            <w:pPr>
              <w:pStyle w:val="Tabletext"/>
            </w:pPr>
            <w:r w:rsidRPr="00D31BF6">
              <w:t>West</w:t>
            </w:r>
          </w:p>
        </w:tc>
        <w:tc>
          <w:tcPr>
            <w:tcW w:w="2039" w:type="dxa"/>
          </w:tcPr>
          <w:p w14:paraId="14F20435" w14:textId="77777777" w:rsidR="00CF3794" w:rsidRPr="00D31BF6" w:rsidRDefault="00CF3794" w:rsidP="00CF3794">
            <w:pPr>
              <w:pStyle w:val="StyleTabletextRight"/>
            </w:pPr>
            <w:r w:rsidRPr="00D31BF6">
              <w:t>3.3</w:t>
            </w:r>
          </w:p>
        </w:tc>
        <w:tc>
          <w:tcPr>
            <w:tcW w:w="2039" w:type="dxa"/>
          </w:tcPr>
          <w:p w14:paraId="23981C8E" w14:textId="77777777" w:rsidR="00CF3794" w:rsidRPr="00D31BF6" w:rsidRDefault="00CF3794" w:rsidP="00CF3794">
            <w:pPr>
              <w:pStyle w:val="StyleTabletextRight"/>
            </w:pPr>
            <w:r w:rsidRPr="00D31BF6">
              <w:t>2.6</w:t>
            </w:r>
          </w:p>
        </w:tc>
        <w:tc>
          <w:tcPr>
            <w:tcW w:w="2039" w:type="dxa"/>
          </w:tcPr>
          <w:p w14:paraId="1D8C2903" w14:textId="77777777" w:rsidR="00CF3794" w:rsidRPr="00D31BF6" w:rsidRDefault="00CF3794" w:rsidP="00CF3794">
            <w:pPr>
              <w:pStyle w:val="StyleTabletextRight"/>
            </w:pPr>
            <w:r w:rsidRPr="00D31BF6">
              <w:t>3.0</w:t>
            </w:r>
          </w:p>
        </w:tc>
        <w:tc>
          <w:tcPr>
            <w:tcW w:w="2039" w:type="dxa"/>
          </w:tcPr>
          <w:p w14:paraId="250E1F20" w14:textId="2DC016FF" w:rsidR="00CF3794" w:rsidRPr="00D31BF6" w:rsidRDefault="00CF3794" w:rsidP="00CF3794">
            <w:pPr>
              <w:pStyle w:val="Tabletext"/>
              <w:jc w:val="right"/>
            </w:pPr>
            <w:r w:rsidRPr="00D20BBB">
              <w:t>3.2</w:t>
            </w:r>
          </w:p>
        </w:tc>
      </w:tr>
    </w:tbl>
    <w:p w14:paraId="2F33FF2F" w14:textId="77777777" w:rsidR="005F5C52" w:rsidRPr="00207425" w:rsidRDefault="005F5C52" w:rsidP="00207425">
      <w:pPr>
        <w:pStyle w:val="Heading1"/>
      </w:pPr>
      <w:bookmarkStart w:id="6" w:name="_Toc141344179"/>
      <w:r w:rsidRPr="00207425">
        <w:lastRenderedPageBreak/>
        <w:t>Children and young people who were the subject of a substantiated report within 12 months of the closure of a previous substantiated report</w:t>
      </w:r>
      <w:bookmarkEnd w:id="6"/>
    </w:p>
    <w:p w14:paraId="78D17314" w14:textId="77777777" w:rsidR="005F5C52" w:rsidRPr="00207425" w:rsidRDefault="005F5C52" w:rsidP="001C543E">
      <w:pPr>
        <w:pStyle w:val="Body"/>
      </w:pPr>
      <w:r w:rsidRPr="00207425">
        <w:t>State result includes Statewide Services and Central After-Hours Service.</w:t>
      </w:r>
    </w:p>
    <w:p w14:paraId="1638D1A3" w14:textId="77777777" w:rsidR="005F5C52" w:rsidRPr="00721445" w:rsidRDefault="005F5C52" w:rsidP="00721445">
      <w:pPr>
        <w:pStyle w:val="Tablecaption"/>
      </w:pPr>
      <w:r w:rsidRPr="00721445">
        <w:t>Financial year to date (YTD).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023BA9" w:rsidRPr="00207425" w14:paraId="5DE8F184" w14:textId="77777777" w:rsidTr="007E66FF">
        <w:trPr>
          <w:tblHeader/>
        </w:trPr>
        <w:tc>
          <w:tcPr>
            <w:tcW w:w="2038" w:type="dxa"/>
          </w:tcPr>
          <w:p w14:paraId="4B7DE90D" w14:textId="77777777" w:rsidR="00023BA9" w:rsidRPr="00207425" w:rsidRDefault="00023BA9" w:rsidP="00207425">
            <w:pPr>
              <w:pStyle w:val="Tablecolhead"/>
            </w:pPr>
            <w:r w:rsidRPr="00207425">
              <w:t>Division</w:t>
            </w:r>
          </w:p>
        </w:tc>
        <w:tc>
          <w:tcPr>
            <w:tcW w:w="2039" w:type="dxa"/>
          </w:tcPr>
          <w:p w14:paraId="386277B5" w14:textId="77777777" w:rsidR="00023BA9" w:rsidRPr="00207425" w:rsidRDefault="00023BA9" w:rsidP="00500E40">
            <w:pPr>
              <w:pStyle w:val="Tablecolhead"/>
              <w:jc w:val="right"/>
            </w:pPr>
            <w:r w:rsidRPr="00207425">
              <w:t>September 2022</w:t>
            </w:r>
          </w:p>
        </w:tc>
        <w:tc>
          <w:tcPr>
            <w:tcW w:w="2039" w:type="dxa"/>
          </w:tcPr>
          <w:p w14:paraId="34972861" w14:textId="77777777" w:rsidR="00023BA9" w:rsidRPr="00207425" w:rsidRDefault="00023BA9" w:rsidP="00500E40">
            <w:pPr>
              <w:pStyle w:val="Tablecolhead"/>
              <w:jc w:val="right"/>
            </w:pPr>
            <w:r w:rsidRPr="00207425">
              <w:t>December 2022</w:t>
            </w:r>
          </w:p>
        </w:tc>
        <w:tc>
          <w:tcPr>
            <w:tcW w:w="2039" w:type="dxa"/>
          </w:tcPr>
          <w:p w14:paraId="25F4F1F9" w14:textId="77777777" w:rsidR="00023BA9" w:rsidRPr="00207425" w:rsidRDefault="00023BA9" w:rsidP="00500E40">
            <w:pPr>
              <w:pStyle w:val="Tablecolhead"/>
              <w:jc w:val="right"/>
            </w:pPr>
            <w:r w:rsidRPr="00207425">
              <w:t>March 2023</w:t>
            </w:r>
          </w:p>
        </w:tc>
        <w:tc>
          <w:tcPr>
            <w:tcW w:w="2039" w:type="dxa"/>
          </w:tcPr>
          <w:p w14:paraId="40F3A40A" w14:textId="77777777" w:rsidR="00023BA9" w:rsidRPr="00207425" w:rsidRDefault="00023BA9" w:rsidP="00500E40">
            <w:pPr>
              <w:pStyle w:val="Tablecolhead"/>
              <w:jc w:val="right"/>
            </w:pPr>
            <w:r w:rsidRPr="00207425">
              <w:t>June 2023</w:t>
            </w:r>
          </w:p>
        </w:tc>
      </w:tr>
      <w:tr w:rsidR="00F15F5F" w:rsidRPr="00023BA9" w14:paraId="5AC21167" w14:textId="77777777" w:rsidTr="00E83184">
        <w:tc>
          <w:tcPr>
            <w:tcW w:w="2038" w:type="dxa"/>
            <w:shd w:val="clear" w:color="auto" w:fill="DAEEF3" w:themeFill="accent5" w:themeFillTint="33"/>
          </w:tcPr>
          <w:p w14:paraId="4C8645A5" w14:textId="77777777" w:rsidR="00F15F5F" w:rsidRPr="00023BA9" w:rsidRDefault="00F15F5F" w:rsidP="00F15F5F">
            <w:pPr>
              <w:pStyle w:val="Tabletext"/>
            </w:pPr>
            <w:r w:rsidRPr="00023BA9">
              <w:t>State</w:t>
            </w:r>
          </w:p>
        </w:tc>
        <w:tc>
          <w:tcPr>
            <w:tcW w:w="2039" w:type="dxa"/>
            <w:shd w:val="clear" w:color="auto" w:fill="DAEEF3" w:themeFill="accent5" w:themeFillTint="33"/>
          </w:tcPr>
          <w:p w14:paraId="562AABF9" w14:textId="77777777" w:rsidR="00F15F5F" w:rsidRPr="00023BA9" w:rsidRDefault="00F15F5F" w:rsidP="00F15F5F">
            <w:pPr>
              <w:pStyle w:val="StyleTabletextRight"/>
            </w:pPr>
            <w:r w:rsidRPr="00023BA9">
              <w:t>15.3</w:t>
            </w:r>
          </w:p>
        </w:tc>
        <w:tc>
          <w:tcPr>
            <w:tcW w:w="2039" w:type="dxa"/>
            <w:shd w:val="clear" w:color="auto" w:fill="DAEEF3" w:themeFill="accent5" w:themeFillTint="33"/>
          </w:tcPr>
          <w:p w14:paraId="3E1451EA" w14:textId="77777777" w:rsidR="00F15F5F" w:rsidRPr="00023BA9" w:rsidRDefault="00F15F5F" w:rsidP="00F15F5F">
            <w:pPr>
              <w:pStyle w:val="StyleTabletextRight"/>
            </w:pPr>
            <w:r w:rsidRPr="00023BA9">
              <w:t>15.6</w:t>
            </w:r>
          </w:p>
        </w:tc>
        <w:tc>
          <w:tcPr>
            <w:tcW w:w="2039" w:type="dxa"/>
            <w:shd w:val="clear" w:color="auto" w:fill="DAEEF3" w:themeFill="accent5" w:themeFillTint="33"/>
          </w:tcPr>
          <w:p w14:paraId="2C974B69" w14:textId="77777777" w:rsidR="00F15F5F" w:rsidRPr="00023BA9" w:rsidRDefault="00F15F5F" w:rsidP="00F15F5F">
            <w:pPr>
              <w:pStyle w:val="StyleTabletextRight"/>
            </w:pPr>
            <w:r w:rsidRPr="00023BA9">
              <w:t>15.9</w:t>
            </w:r>
          </w:p>
        </w:tc>
        <w:tc>
          <w:tcPr>
            <w:tcW w:w="2039" w:type="dxa"/>
            <w:shd w:val="clear" w:color="auto" w:fill="DAEEF3" w:themeFill="accent5" w:themeFillTint="33"/>
          </w:tcPr>
          <w:p w14:paraId="4334C6F9" w14:textId="4450F012" w:rsidR="00F15F5F" w:rsidRPr="00023BA9" w:rsidRDefault="00F15F5F" w:rsidP="00F15F5F">
            <w:pPr>
              <w:pStyle w:val="Tabletext"/>
              <w:jc w:val="right"/>
            </w:pPr>
            <w:r w:rsidRPr="00C87BAD">
              <w:t>16.1</w:t>
            </w:r>
          </w:p>
        </w:tc>
      </w:tr>
      <w:tr w:rsidR="00F15F5F" w:rsidRPr="00023BA9" w14:paraId="308C1975" w14:textId="77777777" w:rsidTr="00023BA9">
        <w:tc>
          <w:tcPr>
            <w:tcW w:w="2038" w:type="dxa"/>
          </w:tcPr>
          <w:p w14:paraId="6222792D" w14:textId="77777777" w:rsidR="00F15F5F" w:rsidRPr="00023BA9" w:rsidRDefault="00F15F5F" w:rsidP="00F15F5F">
            <w:pPr>
              <w:pStyle w:val="Tabletext"/>
            </w:pPr>
            <w:r w:rsidRPr="00023BA9">
              <w:t>North</w:t>
            </w:r>
          </w:p>
        </w:tc>
        <w:tc>
          <w:tcPr>
            <w:tcW w:w="2039" w:type="dxa"/>
          </w:tcPr>
          <w:p w14:paraId="5F8FAE9A" w14:textId="77777777" w:rsidR="00F15F5F" w:rsidRPr="00023BA9" w:rsidRDefault="00F15F5F" w:rsidP="00F15F5F">
            <w:pPr>
              <w:pStyle w:val="StyleTabletextRight"/>
            </w:pPr>
            <w:r w:rsidRPr="00023BA9">
              <w:t>15.9</w:t>
            </w:r>
          </w:p>
        </w:tc>
        <w:tc>
          <w:tcPr>
            <w:tcW w:w="2039" w:type="dxa"/>
          </w:tcPr>
          <w:p w14:paraId="262A426F" w14:textId="77777777" w:rsidR="00F15F5F" w:rsidRPr="00023BA9" w:rsidRDefault="00F15F5F" w:rsidP="00F15F5F">
            <w:pPr>
              <w:pStyle w:val="StyleTabletextRight"/>
            </w:pPr>
            <w:r w:rsidRPr="00023BA9">
              <w:t>14.8</w:t>
            </w:r>
          </w:p>
        </w:tc>
        <w:tc>
          <w:tcPr>
            <w:tcW w:w="2039" w:type="dxa"/>
          </w:tcPr>
          <w:p w14:paraId="3E4352CC" w14:textId="77777777" w:rsidR="00F15F5F" w:rsidRPr="00023BA9" w:rsidRDefault="00F15F5F" w:rsidP="00F15F5F">
            <w:pPr>
              <w:pStyle w:val="StyleTabletextRight"/>
            </w:pPr>
            <w:r w:rsidRPr="00023BA9">
              <w:t>15.7</w:t>
            </w:r>
          </w:p>
        </w:tc>
        <w:tc>
          <w:tcPr>
            <w:tcW w:w="2039" w:type="dxa"/>
          </w:tcPr>
          <w:p w14:paraId="37CC37F9" w14:textId="7016B34F" w:rsidR="00F15F5F" w:rsidRPr="00023BA9" w:rsidRDefault="00F15F5F" w:rsidP="00F15F5F">
            <w:pPr>
              <w:pStyle w:val="Tabletext"/>
              <w:jc w:val="right"/>
            </w:pPr>
            <w:r w:rsidRPr="00C87BAD">
              <w:t>15.9</w:t>
            </w:r>
          </w:p>
        </w:tc>
      </w:tr>
      <w:tr w:rsidR="00F15F5F" w:rsidRPr="00023BA9" w14:paraId="417DD443" w14:textId="77777777" w:rsidTr="00023BA9">
        <w:tc>
          <w:tcPr>
            <w:tcW w:w="2038" w:type="dxa"/>
          </w:tcPr>
          <w:p w14:paraId="09B97AB8" w14:textId="77777777" w:rsidR="00F15F5F" w:rsidRPr="00023BA9" w:rsidRDefault="00F15F5F" w:rsidP="00F15F5F">
            <w:pPr>
              <w:pStyle w:val="Tabletext"/>
            </w:pPr>
            <w:r w:rsidRPr="00023BA9">
              <w:t>South</w:t>
            </w:r>
          </w:p>
        </w:tc>
        <w:tc>
          <w:tcPr>
            <w:tcW w:w="2039" w:type="dxa"/>
          </w:tcPr>
          <w:p w14:paraId="2BA596D3" w14:textId="77777777" w:rsidR="00F15F5F" w:rsidRPr="00023BA9" w:rsidRDefault="00F15F5F" w:rsidP="00F15F5F">
            <w:pPr>
              <w:pStyle w:val="StyleTabletextRight"/>
            </w:pPr>
            <w:r w:rsidRPr="00023BA9">
              <w:t>15.9</w:t>
            </w:r>
          </w:p>
        </w:tc>
        <w:tc>
          <w:tcPr>
            <w:tcW w:w="2039" w:type="dxa"/>
          </w:tcPr>
          <w:p w14:paraId="0A97D60D" w14:textId="77777777" w:rsidR="00F15F5F" w:rsidRPr="00023BA9" w:rsidRDefault="00F15F5F" w:rsidP="00F15F5F">
            <w:pPr>
              <w:pStyle w:val="StyleTabletextRight"/>
            </w:pPr>
            <w:r w:rsidRPr="00023BA9">
              <w:t>16.5</w:t>
            </w:r>
          </w:p>
        </w:tc>
        <w:tc>
          <w:tcPr>
            <w:tcW w:w="2039" w:type="dxa"/>
          </w:tcPr>
          <w:p w14:paraId="7DFB6971" w14:textId="77777777" w:rsidR="00F15F5F" w:rsidRPr="00023BA9" w:rsidRDefault="00F15F5F" w:rsidP="00F15F5F">
            <w:pPr>
              <w:pStyle w:val="StyleTabletextRight"/>
            </w:pPr>
            <w:r w:rsidRPr="00023BA9">
              <w:t>16.6</w:t>
            </w:r>
          </w:p>
        </w:tc>
        <w:tc>
          <w:tcPr>
            <w:tcW w:w="2039" w:type="dxa"/>
          </w:tcPr>
          <w:p w14:paraId="31090126" w14:textId="31E9D68F" w:rsidR="00F15F5F" w:rsidRPr="00023BA9" w:rsidRDefault="00F15F5F" w:rsidP="00F15F5F">
            <w:pPr>
              <w:pStyle w:val="Tabletext"/>
              <w:jc w:val="right"/>
            </w:pPr>
            <w:r w:rsidRPr="00C87BAD">
              <w:t>16.7</w:t>
            </w:r>
          </w:p>
        </w:tc>
      </w:tr>
      <w:tr w:rsidR="00F15F5F" w:rsidRPr="00023BA9" w14:paraId="71D48637" w14:textId="77777777" w:rsidTr="00023BA9">
        <w:tc>
          <w:tcPr>
            <w:tcW w:w="2038" w:type="dxa"/>
          </w:tcPr>
          <w:p w14:paraId="1344F6CB" w14:textId="77777777" w:rsidR="00F15F5F" w:rsidRPr="00023BA9" w:rsidRDefault="00F15F5F" w:rsidP="00F15F5F">
            <w:pPr>
              <w:pStyle w:val="Tabletext"/>
            </w:pPr>
            <w:r w:rsidRPr="00023BA9">
              <w:t>East</w:t>
            </w:r>
          </w:p>
        </w:tc>
        <w:tc>
          <w:tcPr>
            <w:tcW w:w="2039" w:type="dxa"/>
          </w:tcPr>
          <w:p w14:paraId="57BC852A" w14:textId="77777777" w:rsidR="00F15F5F" w:rsidRPr="00023BA9" w:rsidRDefault="00F15F5F" w:rsidP="00F15F5F">
            <w:pPr>
              <w:pStyle w:val="StyleTabletextRight"/>
            </w:pPr>
            <w:r w:rsidRPr="00023BA9">
              <w:t>15.3</w:t>
            </w:r>
          </w:p>
        </w:tc>
        <w:tc>
          <w:tcPr>
            <w:tcW w:w="2039" w:type="dxa"/>
          </w:tcPr>
          <w:p w14:paraId="764D77AB" w14:textId="77777777" w:rsidR="00F15F5F" w:rsidRPr="00023BA9" w:rsidRDefault="00F15F5F" w:rsidP="00F15F5F">
            <w:pPr>
              <w:pStyle w:val="StyleTabletextRight"/>
            </w:pPr>
            <w:r w:rsidRPr="00023BA9">
              <w:t>15.2</w:t>
            </w:r>
          </w:p>
        </w:tc>
        <w:tc>
          <w:tcPr>
            <w:tcW w:w="2039" w:type="dxa"/>
          </w:tcPr>
          <w:p w14:paraId="14F4CC0A" w14:textId="77777777" w:rsidR="00F15F5F" w:rsidRPr="00023BA9" w:rsidRDefault="00F15F5F" w:rsidP="00F15F5F">
            <w:pPr>
              <w:pStyle w:val="StyleTabletextRight"/>
            </w:pPr>
            <w:r w:rsidRPr="00023BA9">
              <w:t>14.8</w:t>
            </w:r>
          </w:p>
        </w:tc>
        <w:tc>
          <w:tcPr>
            <w:tcW w:w="2039" w:type="dxa"/>
          </w:tcPr>
          <w:p w14:paraId="0E446B49" w14:textId="72D90556" w:rsidR="00F15F5F" w:rsidRPr="00023BA9" w:rsidRDefault="00F15F5F" w:rsidP="00F15F5F">
            <w:pPr>
              <w:pStyle w:val="Tabletext"/>
              <w:jc w:val="right"/>
            </w:pPr>
            <w:r w:rsidRPr="00C87BAD">
              <w:t>14.6</w:t>
            </w:r>
          </w:p>
        </w:tc>
      </w:tr>
      <w:tr w:rsidR="00F15F5F" w:rsidRPr="00023BA9" w14:paraId="51B06A6E" w14:textId="77777777" w:rsidTr="00023BA9">
        <w:tc>
          <w:tcPr>
            <w:tcW w:w="2038" w:type="dxa"/>
          </w:tcPr>
          <w:p w14:paraId="012DDCC0" w14:textId="77777777" w:rsidR="00F15F5F" w:rsidRPr="00023BA9" w:rsidRDefault="00F15F5F" w:rsidP="00F15F5F">
            <w:pPr>
              <w:pStyle w:val="Tabletext"/>
            </w:pPr>
            <w:r w:rsidRPr="00023BA9">
              <w:t>West</w:t>
            </w:r>
          </w:p>
        </w:tc>
        <w:tc>
          <w:tcPr>
            <w:tcW w:w="2039" w:type="dxa"/>
          </w:tcPr>
          <w:p w14:paraId="577A7376" w14:textId="77777777" w:rsidR="00F15F5F" w:rsidRPr="00023BA9" w:rsidRDefault="00F15F5F" w:rsidP="00F15F5F">
            <w:pPr>
              <w:pStyle w:val="StyleTabletextRight"/>
            </w:pPr>
            <w:r w:rsidRPr="00023BA9">
              <w:t>14.1</w:t>
            </w:r>
          </w:p>
        </w:tc>
        <w:tc>
          <w:tcPr>
            <w:tcW w:w="2039" w:type="dxa"/>
          </w:tcPr>
          <w:p w14:paraId="0FAC5B2D" w14:textId="77777777" w:rsidR="00F15F5F" w:rsidRPr="00023BA9" w:rsidRDefault="00F15F5F" w:rsidP="00F15F5F">
            <w:pPr>
              <w:pStyle w:val="StyleTabletextRight"/>
            </w:pPr>
            <w:r w:rsidRPr="00023BA9">
              <w:t>14.8</w:t>
            </w:r>
          </w:p>
        </w:tc>
        <w:tc>
          <w:tcPr>
            <w:tcW w:w="2039" w:type="dxa"/>
          </w:tcPr>
          <w:p w14:paraId="62327C1A" w14:textId="77777777" w:rsidR="00F15F5F" w:rsidRPr="00023BA9" w:rsidRDefault="00F15F5F" w:rsidP="00F15F5F">
            <w:pPr>
              <w:pStyle w:val="StyleTabletextRight"/>
            </w:pPr>
            <w:r w:rsidRPr="00023BA9">
              <w:t>15.5</w:t>
            </w:r>
          </w:p>
        </w:tc>
        <w:tc>
          <w:tcPr>
            <w:tcW w:w="2039" w:type="dxa"/>
          </w:tcPr>
          <w:p w14:paraId="45CFD879" w14:textId="0AAEA8D6" w:rsidR="00F15F5F" w:rsidRPr="00023BA9" w:rsidRDefault="00F15F5F" w:rsidP="00F15F5F">
            <w:pPr>
              <w:pStyle w:val="Tabletext"/>
              <w:jc w:val="right"/>
            </w:pPr>
            <w:r w:rsidRPr="00C87BAD">
              <w:t>15.7</w:t>
            </w:r>
          </w:p>
        </w:tc>
      </w:tr>
    </w:tbl>
    <w:p w14:paraId="04FE95C6" w14:textId="77777777" w:rsidR="005F5C52" w:rsidRDefault="005F5C52" w:rsidP="00972370">
      <w:pPr>
        <w:pStyle w:val="Heading1"/>
      </w:pPr>
      <w:bookmarkStart w:id="7" w:name="_Toc141344180"/>
      <w:r w:rsidRPr="00D52775">
        <w:t>Number of Child FIRST assessments and interventions undertaken outside of The Orange Door</w:t>
      </w:r>
      <w:bookmarkEnd w:id="7"/>
      <w:r>
        <w:t xml:space="preserve"> </w:t>
      </w:r>
    </w:p>
    <w:p w14:paraId="35C4801B" w14:textId="77777777" w:rsidR="005F5C52" w:rsidRDefault="005F5C52" w:rsidP="000D709D">
      <w:pPr>
        <w:pStyle w:val="Body"/>
      </w:pPr>
      <w:r>
        <w:t>Financial year to date (YTD). Unit of measure: number.</w:t>
      </w:r>
    </w:p>
    <w:p w14:paraId="4E7367F8" w14:textId="77777777" w:rsidR="005F5C52" w:rsidRDefault="005F5C52" w:rsidP="00207425">
      <w:pPr>
        <w:pStyle w:val="Tablecaption"/>
      </w:pPr>
      <w:r>
        <w:t>The lower 2022-23 Annual target (760) reflects the transition of services to The Orange Door.</w:t>
      </w:r>
    </w:p>
    <w:tbl>
      <w:tblPr>
        <w:tblStyle w:val="TableGrid"/>
        <w:tblW w:w="0" w:type="auto"/>
        <w:tblLook w:val="04A0" w:firstRow="1" w:lastRow="0" w:firstColumn="1" w:lastColumn="0" w:noHBand="0" w:noVBand="1"/>
      </w:tblPr>
      <w:tblGrid>
        <w:gridCol w:w="2038"/>
        <w:gridCol w:w="2039"/>
        <w:gridCol w:w="2039"/>
        <w:gridCol w:w="2039"/>
        <w:gridCol w:w="2039"/>
      </w:tblGrid>
      <w:tr w:rsidR="00023BA9" w:rsidRPr="00207425" w14:paraId="669473B7" w14:textId="77777777" w:rsidTr="00BF4393">
        <w:trPr>
          <w:tblHeader/>
        </w:trPr>
        <w:tc>
          <w:tcPr>
            <w:tcW w:w="2038" w:type="dxa"/>
          </w:tcPr>
          <w:p w14:paraId="20B3DF31" w14:textId="77777777" w:rsidR="00023BA9" w:rsidRPr="00207425" w:rsidRDefault="00023BA9" w:rsidP="00207425">
            <w:pPr>
              <w:pStyle w:val="Tablecolhead"/>
            </w:pPr>
            <w:r w:rsidRPr="00207425">
              <w:t>Division</w:t>
            </w:r>
          </w:p>
        </w:tc>
        <w:tc>
          <w:tcPr>
            <w:tcW w:w="2039" w:type="dxa"/>
          </w:tcPr>
          <w:p w14:paraId="2F861565" w14:textId="77777777" w:rsidR="00023BA9" w:rsidRPr="00207425" w:rsidRDefault="00023BA9" w:rsidP="00142DD2">
            <w:pPr>
              <w:pStyle w:val="Tablecolhead"/>
              <w:jc w:val="right"/>
            </w:pPr>
            <w:r w:rsidRPr="00207425">
              <w:t>September 2022</w:t>
            </w:r>
          </w:p>
        </w:tc>
        <w:tc>
          <w:tcPr>
            <w:tcW w:w="2039" w:type="dxa"/>
          </w:tcPr>
          <w:p w14:paraId="45EF9F2E" w14:textId="77777777" w:rsidR="00023BA9" w:rsidRPr="00207425" w:rsidRDefault="00023BA9" w:rsidP="00142DD2">
            <w:pPr>
              <w:pStyle w:val="Tablecolhead"/>
              <w:jc w:val="right"/>
            </w:pPr>
            <w:r w:rsidRPr="00207425">
              <w:t>December 2022</w:t>
            </w:r>
          </w:p>
        </w:tc>
        <w:tc>
          <w:tcPr>
            <w:tcW w:w="2039" w:type="dxa"/>
          </w:tcPr>
          <w:p w14:paraId="14BA793C" w14:textId="77777777" w:rsidR="00023BA9" w:rsidRPr="00207425" w:rsidRDefault="00023BA9" w:rsidP="00142DD2">
            <w:pPr>
              <w:pStyle w:val="Tablecolhead"/>
              <w:jc w:val="right"/>
            </w:pPr>
            <w:r w:rsidRPr="00207425">
              <w:t>March 2023</w:t>
            </w:r>
          </w:p>
        </w:tc>
        <w:tc>
          <w:tcPr>
            <w:tcW w:w="2039" w:type="dxa"/>
          </w:tcPr>
          <w:p w14:paraId="50C9BE40" w14:textId="77777777" w:rsidR="00023BA9" w:rsidRPr="00207425" w:rsidRDefault="00023BA9" w:rsidP="00142DD2">
            <w:pPr>
              <w:pStyle w:val="Tablecolhead"/>
              <w:jc w:val="right"/>
            </w:pPr>
            <w:r w:rsidRPr="00207425">
              <w:t>June 2023</w:t>
            </w:r>
          </w:p>
        </w:tc>
      </w:tr>
      <w:tr w:rsidR="00D52775" w:rsidRPr="00207425" w14:paraId="61685248" w14:textId="77777777" w:rsidTr="00BD5531">
        <w:trPr>
          <w:tblHeader/>
        </w:trPr>
        <w:tc>
          <w:tcPr>
            <w:tcW w:w="2038" w:type="dxa"/>
            <w:shd w:val="clear" w:color="auto" w:fill="DAEEF3" w:themeFill="accent5" w:themeFillTint="33"/>
          </w:tcPr>
          <w:p w14:paraId="682824D8" w14:textId="77777777" w:rsidR="00D52775" w:rsidRPr="00207425" w:rsidRDefault="00D52775" w:rsidP="00D52775">
            <w:pPr>
              <w:pStyle w:val="Tabletext"/>
            </w:pPr>
            <w:r w:rsidRPr="00207425">
              <w:t>State</w:t>
            </w:r>
          </w:p>
        </w:tc>
        <w:tc>
          <w:tcPr>
            <w:tcW w:w="2039" w:type="dxa"/>
            <w:shd w:val="clear" w:color="auto" w:fill="DAEEF3" w:themeFill="accent5" w:themeFillTint="33"/>
          </w:tcPr>
          <w:p w14:paraId="671A6BDA" w14:textId="77777777" w:rsidR="00D52775" w:rsidRPr="00207425" w:rsidRDefault="00D52775" w:rsidP="00D52775">
            <w:pPr>
              <w:pStyle w:val="StyleTabletextRight"/>
            </w:pPr>
            <w:r w:rsidRPr="00207425">
              <w:t>1,489</w:t>
            </w:r>
          </w:p>
        </w:tc>
        <w:tc>
          <w:tcPr>
            <w:tcW w:w="2039" w:type="dxa"/>
            <w:shd w:val="clear" w:color="auto" w:fill="DAEEF3" w:themeFill="accent5" w:themeFillTint="33"/>
          </w:tcPr>
          <w:p w14:paraId="7BA86DEC" w14:textId="77777777" w:rsidR="00D52775" w:rsidRPr="00207425" w:rsidRDefault="00D52775" w:rsidP="00D52775">
            <w:pPr>
              <w:pStyle w:val="StyleTabletextRight"/>
            </w:pPr>
            <w:r w:rsidRPr="00207425">
              <w:t>2,760</w:t>
            </w:r>
          </w:p>
        </w:tc>
        <w:tc>
          <w:tcPr>
            <w:tcW w:w="2039" w:type="dxa"/>
            <w:shd w:val="clear" w:color="auto" w:fill="DAEEF3" w:themeFill="accent5" w:themeFillTint="33"/>
          </w:tcPr>
          <w:p w14:paraId="078DEDE0" w14:textId="77777777" w:rsidR="00D52775" w:rsidRPr="00207425" w:rsidRDefault="00D52775" w:rsidP="00D52775">
            <w:pPr>
              <w:pStyle w:val="StyleTabletextRight"/>
            </w:pPr>
            <w:r w:rsidRPr="00207425">
              <w:t>2,958</w:t>
            </w:r>
          </w:p>
        </w:tc>
        <w:tc>
          <w:tcPr>
            <w:tcW w:w="2039" w:type="dxa"/>
            <w:shd w:val="clear" w:color="auto" w:fill="DAEEF3" w:themeFill="accent5" w:themeFillTint="33"/>
            <w:vAlign w:val="bottom"/>
          </w:tcPr>
          <w:p w14:paraId="6AEB56A8" w14:textId="51240AA4" w:rsidR="00D52775" w:rsidRPr="00207425" w:rsidRDefault="00D52775" w:rsidP="00D52775">
            <w:pPr>
              <w:pStyle w:val="StyleTabletextRight"/>
            </w:pPr>
            <w:r w:rsidRPr="00D52775">
              <w:t>3,051</w:t>
            </w:r>
          </w:p>
        </w:tc>
      </w:tr>
      <w:tr w:rsidR="00D52775" w:rsidRPr="00207425" w14:paraId="09B973E5" w14:textId="77777777" w:rsidTr="00BD5531">
        <w:trPr>
          <w:tblHeader/>
        </w:trPr>
        <w:tc>
          <w:tcPr>
            <w:tcW w:w="2038" w:type="dxa"/>
          </w:tcPr>
          <w:p w14:paraId="7A2979AE" w14:textId="77777777" w:rsidR="00D52775" w:rsidRPr="00207425" w:rsidRDefault="00D52775" w:rsidP="00D52775">
            <w:pPr>
              <w:pStyle w:val="Tabletext"/>
            </w:pPr>
            <w:r w:rsidRPr="00207425">
              <w:t>North</w:t>
            </w:r>
          </w:p>
        </w:tc>
        <w:tc>
          <w:tcPr>
            <w:tcW w:w="2039" w:type="dxa"/>
          </w:tcPr>
          <w:p w14:paraId="242E0D23" w14:textId="77777777" w:rsidR="00D52775" w:rsidRPr="00207425" w:rsidRDefault="00D52775" w:rsidP="00D52775">
            <w:pPr>
              <w:pStyle w:val="StyleTabletextRight"/>
            </w:pPr>
            <w:r w:rsidRPr="00207425">
              <w:t>3</w:t>
            </w:r>
          </w:p>
        </w:tc>
        <w:tc>
          <w:tcPr>
            <w:tcW w:w="2039" w:type="dxa"/>
          </w:tcPr>
          <w:p w14:paraId="15BAB42F" w14:textId="77777777" w:rsidR="00D52775" w:rsidRPr="00207425" w:rsidRDefault="00D52775" w:rsidP="00D52775">
            <w:pPr>
              <w:pStyle w:val="StyleTabletextRight"/>
            </w:pPr>
            <w:r w:rsidRPr="00207425">
              <w:t>4</w:t>
            </w:r>
          </w:p>
        </w:tc>
        <w:tc>
          <w:tcPr>
            <w:tcW w:w="2039" w:type="dxa"/>
          </w:tcPr>
          <w:p w14:paraId="369F38F4" w14:textId="77777777" w:rsidR="00D52775" w:rsidRPr="00207425" w:rsidRDefault="00D52775" w:rsidP="00D52775">
            <w:pPr>
              <w:pStyle w:val="StyleTabletextRight"/>
            </w:pPr>
            <w:r w:rsidRPr="00207425">
              <w:t>4</w:t>
            </w:r>
          </w:p>
        </w:tc>
        <w:tc>
          <w:tcPr>
            <w:tcW w:w="2039" w:type="dxa"/>
            <w:vAlign w:val="bottom"/>
          </w:tcPr>
          <w:p w14:paraId="1558C63B" w14:textId="6EB9200C" w:rsidR="00D52775" w:rsidRPr="00207425" w:rsidRDefault="00D52775" w:rsidP="00D52775">
            <w:pPr>
              <w:pStyle w:val="StyleTabletextRight"/>
            </w:pPr>
            <w:r w:rsidRPr="00D52775">
              <w:t>4</w:t>
            </w:r>
          </w:p>
        </w:tc>
      </w:tr>
      <w:tr w:rsidR="00D52775" w:rsidRPr="00207425" w14:paraId="17CBDCA7" w14:textId="77777777" w:rsidTr="00BD5531">
        <w:trPr>
          <w:tblHeader/>
        </w:trPr>
        <w:tc>
          <w:tcPr>
            <w:tcW w:w="2038" w:type="dxa"/>
          </w:tcPr>
          <w:p w14:paraId="2A9FBCFC" w14:textId="77777777" w:rsidR="00D52775" w:rsidRPr="00207425" w:rsidRDefault="00D52775" w:rsidP="00D52775">
            <w:pPr>
              <w:pStyle w:val="Tabletext"/>
            </w:pPr>
            <w:r w:rsidRPr="00207425">
              <w:t>South</w:t>
            </w:r>
          </w:p>
        </w:tc>
        <w:tc>
          <w:tcPr>
            <w:tcW w:w="2039" w:type="dxa"/>
          </w:tcPr>
          <w:p w14:paraId="4D21CA24" w14:textId="77777777" w:rsidR="00D52775" w:rsidRPr="00207425" w:rsidRDefault="00D52775" w:rsidP="00D52775">
            <w:pPr>
              <w:pStyle w:val="StyleTabletextRight"/>
            </w:pPr>
            <w:r w:rsidRPr="00207425">
              <w:t>4</w:t>
            </w:r>
          </w:p>
        </w:tc>
        <w:tc>
          <w:tcPr>
            <w:tcW w:w="2039" w:type="dxa"/>
          </w:tcPr>
          <w:p w14:paraId="2454A291" w14:textId="77777777" w:rsidR="00D52775" w:rsidRPr="00207425" w:rsidRDefault="00D52775" w:rsidP="00D52775">
            <w:pPr>
              <w:pStyle w:val="StyleTabletextRight"/>
            </w:pPr>
            <w:r w:rsidRPr="00207425">
              <w:t>5</w:t>
            </w:r>
          </w:p>
        </w:tc>
        <w:tc>
          <w:tcPr>
            <w:tcW w:w="2039" w:type="dxa"/>
          </w:tcPr>
          <w:p w14:paraId="5DED6632" w14:textId="77777777" w:rsidR="00D52775" w:rsidRPr="00207425" w:rsidRDefault="00D52775" w:rsidP="00D52775">
            <w:pPr>
              <w:pStyle w:val="StyleTabletextRight"/>
            </w:pPr>
            <w:r w:rsidRPr="00207425">
              <w:t>8</w:t>
            </w:r>
          </w:p>
        </w:tc>
        <w:tc>
          <w:tcPr>
            <w:tcW w:w="2039" w:type="dxa"/>
            <w:vAlign w:val="bottom"/>
          </w:tcPr>
          <w:p w14:paraId="77767DFA" w14:textId="4F0F70D5" w:rsidR="00D52775" w:rsidRPr="00207425" w:rsidRDefault="00D52775" w:rsidP="00D52775">
            <w:pPr>
              <w:pStyle w:val="StyleTabletextRight"/>
            </w:pPr>
            <w:r w:rsidRPr="00D52775">
              <w:t>13</w:t>
            </w:r>
          </w:p>
        </w:tc>
      </w:tr>
      <w:tr w:rsidR="00D52775" w:rsidRPr="00207425" w14:paraId="7C768420" w14:textId="77777777" w:rsidTr="00BD5531">
        <w:trPr>
          <w:tblHeader/>
        </w:trPr>
        <w:tc>
          <w:tcPr>
            <w:tcW w:w="2038" w:type="dxa"/>
          </w:tcPr>
          <w:p w14:paraId="02DCBDD3" w14:textId="77777777" w:rsidR="00D52775" w:rsidRPr="00207425" w:rsidRDefault="00D52775" w:rsidP="00D52775">
            <w:pPr>
              <w:pStyle w:val="Tabletext"/>
            </w:pPr>
            <w:r w:rsidRPr="00207425">
              <w:t>East</w:t>
            </w:r>
          </w:p>
        </w:tc>
        <w:tc>
          <w:tcPr>
            <w:tcW w:w="2039" w:type="dxa"/>
          </w:tcPr>
          <w:p w14:paraId="696B023E" w14:textId="77777777" w:rsidR="00D52775" w:rsidRPr="00207425" w:rsidRDefault="00D52775" w:rsidP="00D52775">
            <w:pPr>
              <w:pStyle w:val="StyleTabletextRight"/>
            </w:pPr>
            <w:r w:rsidRPr="00207425">
              <w:t>108</w:t>
            </w:r>
          </w:p>
        </w:tc>
        <w:tc>
          <w:tcPr>
            <w:tcW w:w="2039" w:type="dxa"/>
          </w:tcPr>
          <w:p w14:paraId="49420660" w14:textId="77777777" w:rsidR="00D52775" w:rsidRPr="00207425" w:rsidRDefault="00D52775" w:rsidP="00D52775">
            <w:pPr>
              <w:pStyle w:val="StyleTabletextRight"/>
            </w:pPr>
            <w:r w:rsidRPr="00207425">
              <w:t>108</w:t>
            </w:r>
          </w:p>
        </w:tc>
        <w:tc>
          <w:tcPr>
            <w:tcW w:w="2039" w:type="dxa"/>
          </w:tcPr>
          <w:p w14:paraId="04FB7967" w14:textId="77777777" w:rsidR="00D52775" w:rsidRPr="00207425" w:rsidRDefault="00D52775" w:rsidP="00D52775">
            <w:pPr>
              <w:pStyle w:val="StyleTabletextRight"/>
            </w:pPr>
            <w:r w:rsidRPr="00207425">
              <w:t>109</w:t>
            </w:r>
          </w:p>
        </w:tc>
        <w:tc>
          <w:tcPr>
            <w:tcW w:w="2039" w:type="dxa"/>
            <w:vAlign w:val="bottom"/>
          </w:tcPr>
          <w:p w14:paraId="3E6D26CE" w14:textId="1E687A9D" w:rsidR="00D52775" w:rsidRPr="00207425" w:rsidRDefault="00D52775" w:rsidP="00D52775">
            <w:pPr>
              <w:pStyle w:val="StyleTabletextRight"/>
            </w:pPr>
            <w:r w:rsidRPr="00D52775">
              <w:t>109</w:t>
            </w:r>
          </w:p>
        </w:tc>
      </w:tr>
      <w:tr w:rsidR="00D52775" w:rsidRPr="00207425" w14:paraId="1BF239E4" w14:textId="77777777" w:rsidTr="00BD5531">
        <w:trPr>
          <w:tblHeader/>
        </w:trPr>
        <w:tc>
          <w:tcPr>
            <w:tcW w:w="2038" w:type="dxa"/>
          </w:tcPr>
          <w:p w14:paraId="69B7B0EA" w14:textId="77777777" w:rsidR="00D52775" w:rsidRPr="00207425" w:rsidRDefault="00D52775" w:rsidP="00D52775">
            <w:pPr>
              <w:pStyle w:val="Tabletext"/>
            </w:pPr>
            <w:r w:rsidRPr="00207425">
              <w:t>West</w:t>
            </w:r>
          </w:p>
        </w:tc>
        <w:tc>
          <w:tcPr>
            <w:tcW w:w="2039" w:type="dxa"/>
          </w:tcPr>
          <w:p w14:paraId="470AF36C" w14:textId="77777777" w:rsidR="00D52775" w:rsidRPr="00207425" w:rsidRDefault="00D52775" w:rsidP="00D52775">
            <w:pPr>
              <w:pStyle w:val="StyleTabletextRight"/>
            </w:pPr>
            <w:r w:rsidRPr="00207425">
              <w:t>1,374</w:t>
            </w:r>
          </w:p>
        </w:tc>
        <w:tc>
          <w:tcPr>
            <w:tcW w:w="2039" w:type="dxa"/>
          </w:tcPr>
          <w:p w14:paraId="0A295E17" w14:textId="77777777" w:rsidR="00D52775" w:rsidRPr="00207425" w:rsidRDefault="00D52775" w:rsidP="00D52775">
            <w:pPr>
              <w:pStyle w:val="StyleTabletextRight"/>
            </w:pPr>
            <w:r w:rsidRPr="00207425">
              <w:t>2,643</w:t>
            </w:r>
          </w:p>
        </w:tc>
        <w:tc>
          <w:tcPr>
            <w:tcW w:w="2039" w:type="dxa"/>
          </w:tcPr>
          <w:p w14:paraId="700B4263" w14:textId="77777777" w:rsidR="00D52775" w:rsidRPr="00207425" w:rsidRDefault="00D52775" w:rsidP="00D52775">
            <w:pPr>
              <w:pStyle w:val="StyleTabletextRight"/>
            </w:pPr>
            <w:r w:rsidRPr="00207425">
              <w:t>2,837</w:t>
            </w:r>
          </w:p>
        </w:tc>
        <w:tc>
          <w:tcPr>
            <w:tcW w:w="2039" w:type="dxa"/>
            <w:vAlign w:val="bottom"/>
          </w:tcPr>
          <w:p w14:paraId="7AFECC58" w14:textId="2934ADB5" w:rsidR="00D52775" w:rsidRPr="00207425" w:rsidRDefault="00D52775" w:rsidP="00D52775">
            <w:pPr>
              <w:pStyle w:val="StyleTabletextRight"/>
            </w:pPr>
            <w:r w:rsidRPr="00D52775">
              <w:t>2,925</w:t>
            </w:r>
          </w:p>
        </w:tc>
      </w:tr>
    </w:tbl>
    <w:p w14:paraId="3F52B9AF" w14:textId="77777777" w:rsidR="00AD6F2D" w:rsidRDefault="00AD6F2D">
      <w:pPr>
        <w:spacing w:after="0" w:line="240" w:lineRule="auto"/>
        <w:rPr>
          <w:rFonts w:eastAsia="MS Gothic" w:cs="Arial"/>
          <w:bCs/>
          <w:color w:val="201547"/>
          <w:kern w:val="32"/>
          <w:sz w:val="32"/>
          <w:szCs w:val="40"/>
        </w:rPr>
      </w:pPr>
      <w:bookmarkStart w:id="8" w:name="_Toc141344181"/>
      <w:r>
        <w:br w:type="page"/>
      </w:r>
    </w:p>
    <w:p w14:paraId="423B624B" w14:textId="43D4371A" w:rsidR="005F5C52" w:rsidRDefault="005F5C52" w:rsidP="009D0518">
      <w:pPr>
        <w:pStyle w:val="Heading1"/>
      </w:pPr>
      <w:r w:rsidRPr="00A545DF">
        <w:lastRenderedPageBreak/>
        <w:t>Total number of family services cases provided</w:t>
      </w:r>
      <w:bookmarkStart w:id="9" w:name="_Ref136523250"/>
      <w:r w:rsidR="00965234" w:rsidRPr="00A416BE">
        <w:rPr>
          <w:rStyle w:val="FooterChar"/>
        </w:rPr>
        <w:footnoteReference w:id="2"/>
      </w:r>
      <w:bookmarkEnd w:id="8"/>
      <w:bookmarkEnd w:id="9"/>
    </w:p>
    <w:p w14:paraId="799F4868" w14:textId="5C0E984A" w:rsidR="005F5C52" w:rsidRDefault="005F5C52" w:rsidP="005F5C52">
      <w:pPr>
        <w:pStyle w:val="Body"/>
      </w:pPr>
      <w:r>
        <w:t xml:space="preserve">The lower 2022-23 Annual target (21,548) reflects the transition of Child FIRST targets to The Orange Door and an improved approach to counting cases. Count rules for this BP3 were updated for 2022-23, hence not comparable to same time last year. The new count rules have been applied in Q1 and Q2 retrospectively in the below table. The old count rules were applied in the 2022-23 Q1 and Q2 publications. </w:t>
      </w:r>
    </w:p>
    <w:p w14:paraId="10CE1A97" w14:textId="37DB1B2C" w:rsidR="00CE6862" w:rsidRDefault="00CE6862" w:rsidP="00CE6862">
      <w:pPr>
        <w:pStyle w:val="Tablecaption"/>
      </w:pPr>
      <w:r>
        <w:t xml:space="preserve">Financial year to </w:t>
      </w:r>
      <w:r w:rsidRPr="009D0518">
        <w:t>date</w:t>
      </w:r>
      <w:r>
        <w:t xml:space="preserve"> (YTD). Unit of measure: cumulative number. </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9D0518" w14:paraId="7185E440" w14:textId="77777777" w:rsidTr="3F0EB9B4">
        <w:trPr>
          <w:tblHeader/>
        </w:trPr>
        <w:tc>
          <w:tcPr>
            <w:tcW w:w="2038" w:type="dxa"/>
            <w:shd w:val="clear" w:color="auto" w:fill="auto"/>
          </w:tcPr>
          <w:p w14:paraId="0EA39C8B" w14:textId="77777777" w:rsidR="00FE08DE" w:rsidRPr="009D0518" w:rsidRDefault="00FE08DE" w:rsidP="009D0518">
            <w:pPr>
              <w:pStyle w:val="Tablecolhead"/>
            </w:pPr>
            <w:r w:rsidRPr="009D0518">
              <w:t>Division</w:t>
            </w:r>
          </w:p>
        </w:tc>
        <w:tc>
          <w:tcPr>
            <w:tcW w:w="2039" w:type="dxa"/>
            <w:shd w:val="clear" w:color="auto" w:fill="auto"/>
          </w:tcPr>
          <w:p w14:paraId="35B93B8A" w14:textId="77777777" w:rsidR="00FE08DE" w:rsidRPr="009D0518" w:rsidRDefault="00FE08DE" w:rsidP="009D0518">
            <w:pPr>
              <w:pStyle w:val="Tablecolhead"/>
              <w:jc w:val="right"/>
            </w:pPr>
            <w:r w:rsidRPr="009D0518">
              <w:t>September 2022</w:t>
            </w:r>
          </w:p>
        </w:tc>
        <w:tc>
          <w:tcPr>
            <w:tcW w:w="2039" w:type="dxa"/>
            <w:shd w:val="clear" w:color="auto" w:fill="auto"/>
          </w:tcPr>
          <w:p w14:paraId="1E2DFC12" w14:textId="77777777" w:rsidR="00FE08DE" w:rsidRPr="009D0518" w:rsidRDefault="00FE08DE" w:rsidP="009D0518">
            <w:pPr>
              <w:pStyle w:val="Tablecolhead"/>
              <w:jc w:val="right"/>
            </w:pPr>
            <w:r w:rsidRPr="009D0518">
              <w:t>December 2022</w:t>
            </w:r>
          </w:p>
        </w:tc>
        <w:tc>
          <w:tcPr>
            <w:tcW w:w="2039" w:type="dxa"/>
            <w:shd w:val="clear" w:color="auto" w:fill="auto"/>
          </w:tcPr>
          <w:p w14:paraId="652BF755" w14:textId="77777777" w:rsidR="00FE08DE" w:rsidRPr="009D0518" w:rsidRDefault="00FE08DE" w:rsidP="009D0518">
            <w:pPr>
              <w:pStyle w:val="Tablecolhead"/>
              <w:jc w:val="right"/>
            </w:pPr>
            <w:r w:rsidRPr="009D0518">
              <w:t>March 2023</w:t>
            </w:r>
          </w:p>
        </w:tc>
        <w:tc>
          <w:tcPr>
            <w:tcW w:w="2039" w:type="dxa"/>
            <w:shd w:val="clear" w:color="auto" w:fill="auto"/>
          </w:tcPr>
          <w:p w14:paraId="62BC6BF1" w14:textId="77777777" w:rsidR="00FE08DE" w:rsidRPr="009D0518" w:rsidRDefault="00FE08DE" w:rsidP="009D0518">
            <w:pPr>
              <w:pStyle w:val="Tablecolhead"/>
              <w:jc w:val="right"/>
            </w:pPr>
            <w:r w:rsidRPr="009D0518">
              <w:t>June 2023</w:t>
            </w:r>
          </w:p>
        </w:tc>
      </w:tr>
      <w:tr w:rsidR="00F13EDF" w:rsidRPr="00FE08DE" w14:paraId="0AA9EBF5" w14:textId="77777777" w:rsidTr="3F0EB9B4">
        <w:trPr>
          <w:tblHeader/>
        </w:trPr>
        <w:tc>
          <w:tcPr>
            <w:tcW w:w="2038" w:type="dxa"/>
            <w:shd w:val="clear" w:color="auto" w:fill="DAEEF3" w:themeFill="accent5" w:themeFillTint="33"/>
          </w:tcPr>
          <w:p w14:paraId="38925413" w14:textId="77777777" w:rsidR="00F13EDF" w:rsidRPr="00FE08DE" w:rsidRDefault="00F13EDF" w:rsidP="00F13EDF">
            <w:pPr>
              <w:pStyle w:val="Tabletext"/>
            </w:pPr>
            <w:r w:rsidRPr="00FE08DE">
              <w:t>State</w:t>
            </w:r>
          </w:p>
        </w:tc>
        <w:tc>
          <w:tcPr>
            <w:tcW w:w="2039" w:type="dxa"/>
            <w:shd w:val="clear" w:color="auto" w:fill="DAEEF3" w:themeFill="accent5" w:themeFillTint="33"/>
          </w:tcPr>
          <w:p w14:paraId="60B03B3C" w14:textId="77777777" w:rsidR="00F13EDF" w:rsidRPr="00FE08DE" w:rsidRDefault="00F13EDF" w:rsidP="00F13EDF">
            <w:pPr>
              <w:pStyle w:val="StyleTabletextRight"/>
            </w:pPr>
            <w:r w:rsidRPr="00FE08DE">
              <w:t>8,645</w:t>
            </w:r>
          </w:p>
        </w:tc>
        <w:tc>
          <w:tcPr>
            <w:tcW w:w="2039" w:type="dxa"/>
            <w:shd w:val="clear" w:color="auto" w:fill="DAEEF3" w:themeFill="accent5" w:themeFillTint="33"/>
          </w:tcPr>
          <w:p w14:paraId="63DD60EF" w14:textId="77777777" w:rsidR="00F13EDF" w:rsidRPr="00FE08DE" w:rsidRDefault="00F13EDF" w:rsidP="00F13EDF">
            <w:pPr>
              <w:pStyle w:val="StyleTabletextRight"/>
            </w:pPr>
            <w:r w:rsidRPr="00FE08DE">
              <w:t>11,864</w:t>
            </w:r>
          </w:p>
        </w:tc>
        <w:tc>
          <w:tcPr>
            <w:tcW w:w="2039" w:type="dxa"/>
            <w:shd w:val="clear" w:color="auto" w:fill="DAEEF3" w:themeFill="accent5" w:themeFillTint="33"/>
          </w:tcPr>
          <w:p w14:paraId="3EDC9F7E" w14:textId="77777777" w:rsidR="00F13EDF" w:rsidRPr="00FE08DE" w:rsidRDefault="00F13EDF" w:rsidP="00F13EDF">
            <w:pPr>
              <w:pStyle w:val="StyleTabletextRight"/>
            </w:pPr>
            <w:r w:rsidRPr="00FE08DE">
              <w:t>14,618</w:t>
            </w:r>
          </w:p>
        </w:tc>
        <w:tc>
          <w:tcPr>
            <w:tcW w:w="2039" w:type="dxa"/>
            <w:shd w:val="clear" w:color="auto" w:fill="DAEEF3" w:themeFill="accent5" w:themeFillTint="33"/>
            <w:vAlign w:val="center"/>
          </w:tcPr>
          <w:p w14:paraId="30DF897A" w14:textId="38A6BA64" w:rsidR="00F13EDF" w:rsidRPr="00FE08DE" w:rsidRDefault="427A9247" w:rsidP="00F13EDF">
            <w:pPr>
              <w:pStyle w:val="StyleTabletextRight"/>
            </w:pPr>
            <w:r>
              <w:t>19,246</w:t>
            </w:r>
          </w:p>
        </w:tc>
      </w:tr>
      <w:tr w:rsidR="00F13EDF" w:rsidRPr="00FE08DE" w14:paraId="4BB8F522" w14:textId="77777777" w:rsidTr="3F0EB9B4">
        <w:trPr>
          <w:tblHeader/>
        </w:trPr>
        <w:tc>
          <w:tcPr>
            <w:tcW w:w="2038" w:type="dxa"/>
          </w:tcPr>
          <w:p w14:paraId="33CDD94A" w14:textId="77777777" w:rsidR="00F13EDF" w:rsidRPr="00FE08DE" w:rsidRDefault="00F13EDF" w:rsidP="00F13EDF">
            <w:pPr>
              <w:pStyle w:val="Tabletext"/>
            </w:pPr>
            <w:r w:rsidRPr="00FE08DE">
              <w:t>North</w:t>
            </w:r>
          </w:p>
        </w:tc>
        <w:tc>
          <w:tcPr>
            <w:tcW w:w="2039" w:type="dxa"/>
          </w:tcPr>
          <w:p w14:paraId="7B15CA10" w14:textId="77777777" w:rsidR="00F13EDF" w:rsidRPr="00FE08DE" w:rsidRDefault="00F13EDF" w:rsidP="00F13EDF">
            <w:pPr>
              <w:pStyle w:val="StyleTabletextRight"/>
            </w:pPr>
            <w:r w:rsidRPr="00FE08DE">
              <w:t>1,892</w:t>
            </w:r>
          </w:p>
        </w:tc>
        <w:tc>
          <w:tcPr>
            <w:tcW w:w="2039" w:type="dxa"/>
          </w:tcPr>
          <w:p w14:paraId="0DF5D462" w14:textId="77777777" w:rsidR="00F13EDF" w:rsidRPr="00FE08DE" w:rsidRDefault="00F13EDF" w:rsidP="00F13EDF">
            <w:pPr>
              <w:pStyle w:val="StyleTabletextRight"/>
            </w:pPr>
            <w:r w:rsidRPr="00FE08DE">
              <w:t>2,603</w:t>
            </w:r>
          </w:p>
        </w:tc>
        <w:tc>
          <w:tcPr>
            <w:tcW w:w="2039" w:type="dxa"/>
          </w:tcPr>
          <w:p w14:paraId="2AE15DCA" w14:textId="6FA2E43E" w:rsidR="00F13EDF" w:rsidRPr="00FE08DE" w:rsidRDefault="00F13EDF" w:rsidP="00F13EDF">
            <w:pPr>
              <w:pStyle w:val="StyleTabletextRight"/>
            </w:pPr>
            <w:r w:rsidRPr="00FE08DE">
              <w:t>3,153</w:t>
            </w:r>
          </w:p>
        </w:tc>
        <w:tc>
          <w:tcPr>
            <w:tcW w:w="2039" w:type="dxa"/>
            <w:shd w:val="clear" w:color="auto" w:fill="auto"/>
            <w:vAlign w:val="bottom"/>
          </w:tcPr>
          <w:p w14:paraId="22D7CBFA" w14:textId="2821F8A6" w:rsidR="00F13EDF" w:rsidRPr="00FE08DE" w:rsidRDefault="427A9247" w:rsidP="00F13EDF">
            <w:pPr>
              <w:pStyle w:val="StyleTabletextRight"/>
            </w:pPr>
            <w:r>
              <w:t>         4,07</w:t>
            </w:r>
            <w:r w:rsidR="769617A1">
              <w:t>5</w:t>
            </w:r>
          </w:p>
        </w:tc>
      </w:tr>
      <w:tr w:rsidR="00F13EDF" w:rsidRPr="00FE08DE" w14:paraId="09BA2913" w14:textId="77777777" w:rsidTr="3F0EB9B4">
        <w:trPr>
          <w:tblHeader/>
        </w:trPr>
        <w:tc>
          <w:tcPr>
            <w:tcW w:w="2038" w:type="dxa"/>
          </w:tcPr>
          <w:p w14:paraId="11A105DA" w14:textId="77777777" w:rsidR="00F13EDF" w:rsidRPr="00FE08DE" w:rsidRDefault="00F13EDF" w:rsidP="00F13EDF">
            <w:pPr>
              <w:pStyle w:val="Tabletext"/>
            </w:pPr>
            <w:r w:rsidRPr="00FE08DE">
              <w:t>South</w:t>
            </w:r>
          </w:p>
        </w:tc>
        <w:tc>
          <w:tcPr>
            <w:tcW w:w="2039" w:type="dxa"/>
          </w:tcPr>
          <w:p w14:paraId="696A3045" w14:textId="77777777" w:rsidR="00F13EDF" w:rsidRPr="00FE08DE" w:rsidRDefault="00F13EDF" w:rsidP="00F13EDF">
            <w:pPr>
              <w:pStyle w:val="StyleTabletextRight"/>
            </w:pPr>
            <w:r w:rsidRPr="00FE08DE">
              <w:t>2,377</w:t>
            </w:r>
          </w:p>
        </w:tc>
        <w:tc>
          <w:tcPr>
            <w:tcW w:w="2039" w:type="dxa"/>
          </w:tcPr>
          <w:p w14:paraId="29CAAA20" w14:textId="77777777" w:rsidR="00F13EDF" w:rsidRPr="00FE08DE" w:rsidRDefault="00F13EDF" w:rsidP="00F13EDF">
            <w:pPr>
              <w:pStyle w:val="StyleTabletextRight"/>
            </w:pPr>
            <w:r w:rsidRPr="00FE08DE">
              <w:t>3,449</w:t>
            </w:r>
          </w:p>
        </w:tc>
        <w:tc>
          <w:tcPr>
            <w:tcW w:w="2039" w:type="dxa"/>
          </w:tcPr>
          <w:p w14:paraId="5EED460B" w14:textId="571B0938" w:rsidR="00F13EDF" w:rsidRPr="00FE08DE" w:rsidRDefault="00F13EDF" w:rsidP="00F13EDF">
            <w:pPr>
              <w:pStyle w:val="StyleTabletextRight"/>
            </w:pPr>
            <w:r w:rsidRPr="00FE08DE">
              <w:t>4,288</w:t>
            </w:r>
          </w:p>
        </w:tc>
        <w:tc>
          <w:tcPr>
            <w:tcW w:w="2039" w:type="dxa"/>
            <w:vAlign w:val="bottom"/>
          </w:tcPr>
          <w:p w14:paraId="4FA50B95" w14:textId="5ED6362F" w:rsidR="00F13EDF" w:rsidRPr="00FE08DE" w:rsidRDefault="427A9247" w:rsidP="00F13EDF">
            <w:pPr>
              <w:pStyle w:val="StyleTabletextRight"/>
            </w:pPr>
            <w:r>
              <w:t>         6,060</w:t>
            </w:r>
          </w:p>
        </w:tc>
      </w:tr>
      <w:tr w:rsidR="00F13EDF" w:rsidRPr="00FE08DE" w14:paraId="602EC460" w14:textId="77777777" w:rsidTr="3F0EB9B4">
        <w:trPr>
          <w:tblHeader/>
        </w:trPr>
        <w:tc>
          <w:tcPr>
            <w:tcW w:w="2038" w:type="dxa"/>
          </w:tcPr>
          <w:p w14:paraId="45C67E7E" w14:textId="77777777" w:rsidR="00F13EDF" w:rsidRPr="00FE08DE" w:rsidRDefault="00F13EDF" w:rsidP="00F13EDF">
            <w:pPr>
              <w:pStyle w:val="Tabletext"/>
            </w:pPr>
            <w:r w:rsidRPr="00FE08DE">
              <w:t>East</w:t>
            </w:r>
          </w:p>
        </w:tc>
        <w:tc>
          <w:tcPr>
            <w:tcW w:w="2039" w:type="dxa"/>
          </w:tcPr>
          <w:p w14:paraId="6AEF7147" w14:textId="77777777" w:rsidR="00F13EDF" w:rsidRPr="00FE08DE" w:rsidRDefault="00F13EDF" w:rsidP="00F13EDF">
            <w:pPr>
              <w:pStyle w:val="StyleTabletextRight"/>
            </w:pPr>
            <w:r w:rsidRPr="00FE08DE">
              <w:t>1,715</w:t>
            </w:r>
          </w:p>
        </w:tc>
        <w:tc>
          <w:tcPr>
            <w:tcW w:w="2039" w:type="dxa"/>
          </w:tcPr>
          <w:p w14:paraId="7ED991E6" w14:textId="77777777" w:rsidR="00F13EDF" w:rsidRPr="00FE08DE" w:rsidRDefault="00F13EDF" w:rsidP="00F13EDF">
            <w:pPr>
              <w:pStyle w:val="StyleTabletextRight"/>
            </w:pPr>
            <w:r w:rsidRPr="00FE08DE">
              <w:t>2,317</w:t>
            </w:r>
          </w:p>
        </w:tc>
        <w:tc>
          <w:tcPr>
            <w:tcW w:w="2039" w:type="dxa"/>
          </w:tcPr>
          <w:p w14:paraId="7BBF0DFA" w14:textId="433D9C5C" w:rsidR="00F13EDF" w:rsidRPr="00FE08DE" w:rsidRDefault="00F13EDF" w:rsidP="00F13EDF">
            <w:pPr>
              <w:pStyle w:val="StyleTabletextRight"/>
            </w:pPr>
            <w:r w:rsidRPr="00FE08DE">
              <w:t>2,859</w:t>
            </w:r>
          </w:p>
        </w:tc>
        <w:tc>
          <w:tcPr>
            <w:tcW w:w="2039" w:type="dxa"/>
            <w:vAlign w:val="bottom"/>
          </w:tcPr>
          <w:p w14:paraId="6B881F89" w14:textId="320BFBAC" w:rsidR="00F13EDF" w:rsidRPr="00FE08DE" w:rsidRDefault="427A9247" w:rsidP="00F13EDF">
            <w:pPr>
              <w:pStyle w:val="StyleTabletextRight"/>
            </w:pPr>
            <w:r>
              <w:t xml:space="preserve">          3,79</w:t>
            </w:r>
            <w:r w:rsidR="578C35CB">
              <w:t>1</w:t>
            </w:r>
          </w:p>
        </w:tc>
      </w:tr>
      <w:tr w:rsidR="00F13EDF" w:rsidRPr="00FE08DE" w14:paraId="74890047" w14:textId="77777777" w:rsidTr="3F0EB9B4">
        <w:trPr>
          <w:tblHeader/>
        </w:trPr>
        <w:tc>
          <w:tcPr>
            <w:tcW w:w="2038" w:type="dxa"/>
          </w:tcPr>
          <w:p w14:paraId="7D308F95" w14:textId="77777777" w:rsidR="00F13EDF" w:rsidRPr="00FE08DE" w:rsidRDefault="00F13EDF" w:rsidP="00F13EDF">
            <w:pPr>
              <w:pStyle w:val="Tabletext"/>
            </w:pPr>
            <w:r w:rsidRPr="00FE08DE">
              <w:t>West</w:t>
            </w:r>
          </w:p>
        </w:tc>
        <w:tc>
          <w:tcPr>
            <w:tcW w:w="2039" w:type="dxa"/>
          </w:tcPr>
          <w:p w14:paraId="4B0138DF" w14:textId="77777777" w:rsidR="00F13EDF" w:rsidRPr="00FE08DE" w:rsidRDefault="00F13EDF" w:rsidP="00F13EDF">
            <w:pPr>
              <w:pStyle w:val="StyleTabletextRight"/>
            </w:pPr>
            <w:r w:rsidRPr="00FE08DE">
              <w:t>2,661</w:t>
            </w:r>
          </w:p>
        </w:tc>
        <w:tc>
          <w:tcPr>
            <w:tcW w:w="2039" w:type="dxa"/>
          </w:tcPr>
          <w:p w14:paraId="08EF92AA" w14:textId="77777777" w:rsidR="00F13EDF" w:rsidRPr="00FE08DE" w:rsidRDefault="00F13EDF" w:rsidP="00F13EDF">
            <w:pPr>
              <w:pStyle w:val="StyleTabletextRight"/>
            </w:pPr>
            <w:r w:rsidRPr="00FE08DE">
              <w:t>3,495</w:t>
            </w:r>
          </w:p>
        </w:tc>
        <w:tc>
          <w:tcPr>
            <w:tcW w:w="2039" w:type="dxa"/>
          </w:tcPr>
          <w:p w14:paraId="69DA3A74" w14:textId="2DA4484B" w:rsidR="00F13EDF" w:rsidRPr="00FE08DE" w:rsidRDefault="00F13EDF" w:rsidP="00F13EDF">
            <w:pPr>
              <w:pStyle w:val="StyleTabletextRight"/>
            </w:pPr>
            <w:r w:rsidRPr="00FE08DE">
              <w:t>4,318</w:t>
            </w:r>
          </w:p>
        </w:tc>
        <w:tc>
          <w:tcPr>
            <w:tcW w:w="2039" w:type="dxa"/>
            <w:vAlign w:val="bottom"/>
          </w:tcPr>
          <w:p w14:paraId="740164E8" w14:textId="338AE3B8" w:rsidR="00F13EDF" w:rsidRPr="00FE08DE" w:rsidRDefault="427A9247" w:rsidP="00F13EDF">
            <w:pPr>
              <w:pStyle w:val="StyleTabletextRight"/>
            </w:pPr>
            <w:r>
              <w:t xml:space="preserve">          5,320</w:t>
            </w:r>
          </w:p>
        </w:tc>
      </w:tr>
    </w:tbl>
    <w:p w14:paraId="3DD30068" w14:textId="76246409" w:rsidR="005F5C52" w:rsidRDefault="005F5C52" w:rsidP="00536ADD">
      <w:pPr>
        <w:pStyle w:val="Heading1"/>
      </w:pPr>
      <w:bookmarkStart w:id="10" w:name="_Toc141344182"/>
      <w:r w:rsidRPr="00CF7E87">
        <w:t>Number of family service cases provided to Aboriginal families</w:t>
      </w:r>
      <w:r w:rsidR="005F5D4E" w:rsidRPr="00B84B6F">
        <w:rPr>
          <w:rStyle w:val="FooterChar"/>
        </w:rPr>
        <w:fldChar w:fldCharType="begin"/>
      </w:r>
      <w:r w:rsidR="005F5D4E" w:rsidRPr="00B84B6F">
        <w:rPr>
          <w:rStyle w:val="FooterChar"/>
        </w:rPr>
        <w:instrText xml:space="preserve"> NOTEREF _Ref136523250 \h  \* MERGEFORMAT </w:instrText>
      </w:r>
      <w:r w:rsidR="005F5D4E" w:rsidRPr="00B84B6F">
        <w:rPr>
          <w:rStyle w:val="FooterChar"/>
        </w:rPr>
      </w:r>
      <w:r w:rsidR="005F5D4E" w:rsidRPr="00B84B6F">
        <w:rPr>
          <w:rStyle w:val="FooterChar"/>
        </w:rPr>
        <w:fldChar w:fldCharType="separate"/>
      </w:r>
      <w:r w:rsidR="005F5D4E" w:rsidRPr="00B84B6F">
        <w:rPr>
          <w:rStyle w:val="FooterChar"/>
        </w:rPr>
        <w:t>1</w:t>
      </w:r>
      <w:bookmarkEnd w:id="10"/>
      <w:r w:rsidR="005F5D4E" w:rsidRPr="00B84B6F">
        <w:rPr>
          <w:rStyle w:val="FooterChar"/>
        </w:rPr>
        <w:fldChar w:fldCharType="end"/>
      </w:r>
    </w:p>
    <w:p w14:paraId="7D7305E1" w14:textId="77777777" w:rsidR="005F5C52" w:rsidRDefault="005F5C52" w:rsidP="005F5C52">
      <w:pPr>
        <w:pStyle w:val="Body"/>
      </w:pPr>
      <w:r>
        <w:t xml:space="preserve">The lower 2022-23 annual target (1,909) reflects the transition of services to The Orange Door and an improved approach to counting cases. Count rules for this BP3 were updated for 2022-23, hence not comparable to same time last year. </w:t>
      </w:r>
      <w:r w:rsidRPr="00C5249C">
        <w:t>The new count rules have been applied in Q1 and Q2 retrospectively in the below table. The old count rules were applied in the 2022-23 Q1 and Q2 publications.</w:t>
      </w:r>
    </w:p>
    <w:p w14:paraId="7A5AB130" w14:textId="77777777" w:rsidR="009D0518" w:rsidRPr="009D0518" w:rsidRDefault="009D0518" w:rsidP="009D0518">
      <w:pPr>
        <w:pStyle w:val="Tablecaption"/>
      </w:pPr>
      <w:r w:rsidRPr="009D0518">
        <w:t>Financial year to date (YTD). Unit of measure: cumulative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9D0518" w14:paraId="3F58AB01" w14:textId="77777777" w:rsidTr="009D0518">
        <w:trPr>
          <w:tblHeader/>
        </w:trPr>
        <w:tc>
          <w:tcPr>
            <w:tcW w:w="2038" w:type="dxa"/>
          </w:tcPr>
          <w:p w14:paraId="727B50A3" w14:textId="77777777" w:rsidR="00FE08DE" w:rsidRPr="009D0518" w:rsidRDefault="00FE08DE" w:rsidP="009048B3">
            <w:pPr>
              <w:pStyle w:val="Tablecolhead"/>
            </w:pPr>
            <w:r w:rsidRPr="009D0518">
              <w:t>Division</w:t>
            </w:r>
          </w:p>
        </w:tc>
        <w:tc>
          <w:tcPr>
            <w:tcW w:w="2039" w:type="dxa"/>
          </w:tcPr>
          <w:p w14:paraId="7FD17F36" w14:textId="77777777" w:rsidR="00FE08DE" w:rsidRPr="009D0518" w:rsidRDefault="00FE08DE" w:rsidP="00594F30">
            <w:pPr>
              <w:pStyle w:val="Tablecolhead"/>
              <w:spacing w:before="60"/>
              <w:jc w:val="right"/>
            </w:pPr>
            <w:r w:rsidRPr="009D0518">
              <w:t>September 2022</w:t>
            </w:r>
          </w:p>
        </w:tc>
        <w:tc>
          <w:tcPr>
            <w:tcW w:w="2039" w:type="dxa"/>
          </w:tcPr>
          <w:p w14:paraId="230A4084" w14:textId="77777777" w:rsidR="00FE08DE" w:rsidRPr="009D0518" w:rsidRDefault="00FE08DE" w:rsidP="00594F30">
            <w:pPr>
              <w:pStyle w:val="Tablecolhead"/>
              <w:spacing w:before="60"/>
              <w:jc w:val="right"/>
            </w:pPr>
            <w:r w:rsidRPr="009D0518">
              <w:t>December 2022</w:t>
            </w:r>
          </w:p>
        </w:tc>
        <w:tc>
          <w:tcPr>
            <w:tcW w:w="2039" w:type="dxa"/>
          </w:tcPr>
          <w:p w14:paraId="5B59D235" w14:textId="77777777" w:rsidR="00FE08DE" w:rsidRPr="009D0518" w:rsidRDefault="00FE08DE" w:rsidP="00594F30">
            <w:pPr>
              <w:pStyle w:val="Tablecolhead"/>
              <w:spacing w:before="60"/>
              <w:jc w:val="right"/>
            </w:pPr>
            <w:r w:rsidRPr="009D0518">
              <w:t>March 2023</w:t>
            </w:r>
          </w:p>
        </w:tc>
        <w:tc>
          <w:tcPr>
            <w:tcW w:w="2039" w:type="dxa"/>
          </w:tcPr>
          <w:p w14:paraId="1FE21552" w14:textId="77777777" w:rsidR="00FE08DE" w:rsidRPr="009D0518" w:rsidRDefault="00FE08DE" w:rsidP="00594F30">
            <w:pPr>
              <w:pStyle w:val="Tablecolhead"/>
              <w:spacing w:before="60"/>
              <w:jc w:val="right"/>
            </w:pPr>
            <w:r w:rsidRPr="009D0518">
              <w:t>June 2023</w:t>
            </w:r>
          </w:p>
        </w:tc>
      </w:tr>
      <w:tr w:rsidR="00CF7E87" w:rsidRPr="009D0518" w14:paraId="012D5726" w14:textId="77777777" w:rsidTr="00E83184">
        <w:trPr>
          <w:tblHeader/>
        </w:trPr>
        <w:tc>
          <w:tcPr>
            <w:tcW w:w="2038" w:type="dxa"/>
            <w:shd w:val="clear" w:color="auto" w:fill="DAEEF3" w:themeFill="accent5" w:themeFillTint="33"/>
          </w:tcPr>
          <w:p w14:paraId="47A51264" w14:textId="77777777" w:rsidR="00CF7E87" w:rsidRPr="009D0518" w:rsidRDefault="00CF7E87" w:rsidP="00CF7E87">
            <w:pPr>
              <w:pStyle w:val="Tabletext"/>
              <w:spacing w:before="60"/>
            </w:pPr>
            <w:r w:rsidRPr="009D0518">
              <w:t>State</w:t>
            </w:r>
          </w:p>
        </w:tc>
        <w:tc>
          <w:tcPr>
            <w:tcW w:w="2039" w:type="dxa"/>
            <w:shd w:val="clear" w:color="auto" w:fill="DAEEF3" w:themeFill="accent5" w:themeFillTint="33"/>
          </w:tcPr>
          <w:p w14:paraId="22BF55AE" w14:textId="77777777" w:rsidR="00CF7E87" w:rsidRPr="009D0518" w:rsidRDefault="00CF7E87" w:rsidP="00CF7E87">
            <w:pPr>
              <w:pStyle w:val="StyleTabletextRight"/>
              <w:spacing w:before="60"/>
            </w:pPr>
            <w:r w:rsidRPr="009D0518">
              <w:t>952</w:t>
            </w:r>
          </w:p>
        </w:tc>
        <w:tc>
          <w:tcPr>
            <w:tcW w:w="2039" w:type="dxa"/>
            <w:shd w:val="clear" w:color="auto" w:fill="DAEEF3" w:themeFill="accent5" w:themeFillTint="33"/>
          </w:tcPr>
          <w:p w14:paraId="2146B567" w14:textId="77777777" w:rsidR="00CF7E87" w:rsidRPr="009D0518" w:rsidRDefault="00CF7E87" w:rsidP="00CF7E87">
            <w:pPr>
              <w:pStyle w:val="StyleTabletextRight"/>
              <w:spacing w:before="60"/>
            </w:pPr>
            <w:r w:rsidRPr="009D0518">
              <w:t>1,295</w:t>
            </w:r>
          </w:p>
        </w:tc>
        <w:tc>
          <w:tcPr>
            <w:tcW w:w="2039" w:type="dxa"/>
            <w:shd w:val="clear" w:color="auto" w:fill="DAEEF3" w:themeFill="accent5" w:themeFillTint="33"/>
          </w:tcPr>
          <w:p w14:paraId="30A9E4F2" w14:textId="1F7D7053" w:rsidR="00CF7E87" w:rsidRPr="009D0518" w:rsidRDefault="00CF7E87" w:rsidP="00CF7E87">
            <w:pPr>
              <w:pStyle w:val="StyleTabletextRight"/>
              <w:spacing w:before="60"/>
            </w:pPr>
            <w:r w:rsidRPr="009D0518">
              <w:t>1,583</w:t>
            </w:r>
          </w:p>
        </w:tc>
        <w:tc>
          <w:tcPr>
            <w:tcW w:w="2039" w:type="dxa"/>
            <w:shd w:val="clear" w:color="auto" w:fill="DAEEF3" w:themeFill="accent5" w:themeFillTint="33"/>
          </w:tcPr>
          <w:p w14:paraId="00C0D80F" w14:textId="6746E84C" w:rsidR="00CF7E87" w:rsidRPr="009D0518" w:rsidRDefault="00CF7E87" w:rsidP="00CF7E87">
            <w:pPr>
              <w:pStyle w:val="Tabletext"/>
              <w:spacing w:before="60"/>
              <w:jc w:val="right"/>
            </w:pPr>
            <w:r w:rsidRPr="006D28E4">
              <w:t xml:space="preserve"> 2,472 </w:t>
            </w:r>
          </w:p>
        </w:tc>
      </w:tr>
      <w:tr w:rsidR="00CF7E87" w:rsidRPr="009D0518" w14:paraId="60B7677F" w14:textId="77777777" w:rsidTr="009D0518">
        <w:trPr>
          <w:tblHeader/>
        </w:trPr>
        <w:tc>
          <w:tcPr>
            <w:tcW w:w="2038" w:type="dxa"/>
          </w:tcPr>
          <w:p w14:paraId="4374F9EA" w14:textId="77777777" w:rsidR="00CF7E87" w:rsidRPr="009D0518" w:rsidRDefault="00CF7E87" w:rsidP="00CF7E87">
            <w:pPr>
              <w:pStyle w:val="Tabletext"/>
              <w:spacing w:before="60"/>
            </w:pPr>
            <w:r w:rsidRPr="009D0518">
              <w:t>North</w:t>
            </w:r>
          </w:p>
        </w:tc>
        <w:tc>
          <w:tcPr>
            <w:tcW w:w="2039" w:type="dxa"/>
          </w:tcPr>
          <w:p w14:paraId="79A45251" w14:textId="77777777" w:rsidR="00CF7E87" w:rsidRPr="009D0518" w:rsidRDefault="00CF7E87" w:rsidP="00CF7E87">
            <w:pPr>
              <w:pStyle w:val="StyleTabletextRight"/>
              <w:spacing w:before="60"/>
            </w:pPr>
            <w:r w:rsidRPr="009D0518">
              <w:t>208</w:t>
            </w:r>
          </w:p>
        </w:tc>
        <w:tc>
          <w:tcPr>
            <w:tcW w:w="2039" w:type="dxa"/>
          </w:tcPr>
          <w:p w14:paraId="2FF6E9E2" w14:textId="77777777" w:rsidR="00CF7E87" w:rsidRPr="009D0518" w:rsidRDefault="00CF7E87" w:rsidP="00CF7E87">
            <w:pPr>
              <w:pStyle w:val="StyleTabletextRight"/>
              <w:spacing w:before="60"/>
            </w:pPr>
            <w:r w:rsidRPr="009D0518">
              <w:t>298</w:t>
            </w:r>
          </w:p>
        </w:tc>
        <w:tc>
          <w:tcPr>
            <w:tcW w:w="2039" w:type="dxa"/>
          </w:tcPr>
          <w:p w14:paraId="2E7751B4" w14:textId="77777777" w:rsidR="00CF7E87" w:rsidRPr="009D0518" w:rsidRDefault="00CF7E87" w:rsidP="00CF7E87">
            <w:pPr>
              <w:pStyle w:val="StyleTabletextRight"/>
              <w:spacing w:before="60"/>
            </w:pPr>
            <w:r w:rsidRPr="009D0518">
              <w:t>351</w:t>
            </w:r>
          </w:p>
        </w:tc>
        <w:tc>
          <w:tcPr>
            <w:tcW w:w="2039" w:type="dxa"/>
          </w:tcPr>
          <w:p w14:paraId="32862E9F" w14:textId="19507CE1" w:rsidR="00CF7E87" w:rsidRPr="00D06656" w:rsidRDefault="00091DE5" w:rsidP="00CF7E87">
            <w:pPr>
              <w:pStyle w:val="Tabletext"/>
              <w:spacing w:before="60"/>
              <w:jc w:val="right"/>
            </w:pPr>
            <w:r w:rsidRPr="00D06656">
              <w:t>577</w:t>
            </w:r>
          </w:p>
        </w:tc>
      </w:tr>
      <w:tr w:rsidR="00CF7E87" w:rsidRPr="009D0518" w14:paraId="192E3A86" w14:textId="77777777" w:rsidTr="009D0518">
        <w:trPr>
          <w:tblHeader/>
        </w:trPr>
        <w:tc>
          <w:tcPr>
            <w:tcW w:w="2038" w:type="dxa"/>
          </w:tcPr>
          <w:p w14:paraId="770A55E4" w14:textId="77777777" w:rsidR="00CF7E87" w:rsidRPr="009D0518" w:rsidRDefault="00CF7E87" w:rsidP="00CF7E87">
            <w:pPr>
              <w:pStyle w:val="Tabletext"/>
              <w:spacing w:before="60"/>
            </w:pPr>
            <w:r w:rsidRPr="009D0518">
              <w:t>South</w:t>
            </w:r>
          </w:p>
        </w:tc>
        <w:tc>
          <w:tcPr>
            <w:tcW w:w="2039" w:type="dxa"/>
          </w:tcPr>
          <w:p w14:paraId="628DF51A" w14:textId="77777777" w:rsidR="00CF7E87" w:rsidRPr="009D0518" w:rsidRDefault="00CF7E87" w:rsidP="00CF7E87">
            <w:pPr>
              <w:pStyle w:val="StyleTabletextRight"/>
              <w:spacing w:before="60"/>
            </w:pPr>
            <w:r w:rsidRPr="009D0518">
              <w:t>248</w:t>
            </w:r>
          </w:p>
        </w:tc>
        <w:tc>
          <w:tcPr>
            <w:tcW w:w="2039" w:type="dxa"/>
          </w:tcPr>
          <w:p w14:paraId="7B00C839" w14:textId="77777777" w:rsidR="00CF7E87" w:rsidRPr="009D0518" w:rsidRDefault="00CF7E87" w:rsidP="00CF7E87">
            <w:pPr>
              <w:pStyle w:val="StyleTabletextRight"/>
              <w:spacing w:before="60"/>
            </w:pPr>
            <w:r w:rsidRPr="009D0518">
              <w:t>319</w:t>
            </w:r>
          </w:p>
        </w:tc>
        <w:tc>
          <w:tcPr>
            <w:tcW w:w="2039" w:type="dxa"/>
          </w:tcPr>
          <w:p w14:paraId="680E347B" w14:textId="77777777" w:rsidR="00CF7E87" w:rsidRPr="009D0518" w:rsidRDefault="00CF7E87" w:rsidP="00CF7E87">
            <w:pPr>
              <w:pStyle w:val="StyleTabletextRight"/>
              <w:spacing w:before="60"/>
            </w:pPr>
            <w:r w:rsidRPr="009D0518">
              <w:t>384</w:t>
            </w:r>
          </w:p>
        </w:tc>
        <w:tc>
          <w:tcPr>
            <w:tcW w:w="2039" w:type="dxa"/>
          </w:tcPr>
          <w:p w14:paraId="0400439B" w14:textId="0F51F758" w:rsidR="00CF7E87" w:rsidRPr="00D06656" w:rsidRDefault="0046234A" w:rsidP="00CF7E87">
            <w:pPr>
              <w:pStyle w:val="Tabletext"/>
              <w:spacing w:before="60"/>
              <w:jc w:val="right"/>
            </w:pPr>
            <w:r w:rsidRPr="00D06656">
              <w:t>579</w:t>
            </w:r>
          </w:p>
        </w:tc>
      </w:tr>
      <w:tr w:rsidR="00CF7E87" w:rsidRPr="009D0518" w14:paraId="31D3A49B" w14:textId="77777777" w:rsidTr="009D0518">
        <w:trPr>
          <w:tblHeader/>
        </w:trPr>
        <w:tc>
          <w:tcPr>
            <w:tcW w:w="2038" w:type="dxa"/>
          </w:tcPr>
          <w:p w14:paraId="1D87D669" w14:textId="77777777" w:rsidR="00CF7E87" w:rsidRPr="009D0518" w:rsidRDefault="00CF7E87" w:rsidP="00CF7E87">
            <w:pPr>
              <w:pStyle w:val="Tabletext"/>
              <w:spacing w:before="60"/>
            </w:pPr>
            <w:r w:rsidRPr="009D0518">
              <w:t>East</w:t>
            </w:r>
          </w:p>
        </w:tc>
        <w:tc>
          <w:tcPr>
            <w:tcW w:w="2039" w:type="dxa"/>
          </w:tcPr>
          <w:p w14:paraId="7F3948AA" w14:textId="77777777" w:rsidR="00CF7E87" w:rsidRPr="009D0518" w:rsidRDefault="00CF7E87" w:rsidP="00CF7E87">
            <w:pPr>
              <w:pStyle w:val="StyleTabletextRight"/>
              <w:spacing w:before="60"/>
            </w:pPr>
            <w:r w:rsidRPr="009D0518">
              <w:t>222</w:t>
            </w:r>
          </w:p>
        </w:tc>
        <w:tc>
          <w:tcPr>
            <w:tcW w:w="2039" w:type="dxa"/>
          </w:tcPr>
          <w:p w14:paraId="53A5AFBF" w14:textId="77777777" w:rsidR="00CF7E87" w:rsidRPr="009D0518" w:rsidRDefault="00CF7E87" w:rsidP="00CF7E87">
            <w:pPr>
              <w:pStyle w:val="StyleTabletextRight"/>
              <w:spacing w:before="60"/>
            </w:pPr>
            <w:r w:rsidRPr="009D0518">
              <w:t>295</w:t>
            </w:r>
          </w:p>
        </w:tc>
        <w:tc>
          <w:tcPr>
            <w:tcW w:w="2039" w:type="dxa"/>
          </w:tcPr>
          <w:p w14:paraId="16541452" w14:textId="77777777" w:rsidR="00CF7E87" w:rsidRPr="009D0518" w:rsidRDefault="00CF7E87" w:rsidP="00CF7E87">
            <w:pPr>
              <w:pStyle w:val="StyleTabletextRight"/>
              <w:spacing w:before="60"/>
            </w:pPr>
            <w:r w:rsidRPr="009D0518">
              <w:t>373</w:t>
            </w:r>
          </w:p>
        </w:tc>
        <w:tc>
          <w:tcPr>
            <w:tcW w:w="2039" w:type="dxa"/>
          </w:tcPr>
          <w:p w14:paraId="329C50C7" w14:textId="43419BBC" w:rsidR="00CF7E87" w:rsidRPr="00D06656" w:rsidRDefault="00CF7E87" w:rsidP="00CF7E87">
            <w:pPr>
              <w:pStyle w:val="Tabletext"/>
              <w:spacing w:before="60"/>
              <w:jc w:val="right"/>
            </w:pPr>
            <w:r w:rsidRPr="00D06656">
              <w:t xml:space="preserve"> </w:t>
            </w:r>
            <w:r w:rsidR="0046234A" w:rsidRPr="00D06656">
              <w:t>561</w:t>
            </w:r>
            <w:r w:rsidRPr="00D06656">
              <w:t xml:space="preserve"> </w:t>
            </w:r>
          </w:p>
        </w:tc>
      </w:tr>
      <w:tr w:rsidR="00CF7E87" w:rsidRPr="009D0518" w14:paraId="70925710" w14:textId="77777777" w:rsidTr="009D0518">
        <w:trPr>
          <w:tblHeader/>
        </w:trPr>
        <w:tc>
          <w:tcPr>
            <w:tcW w:w="2038" w:type="dxa"/>
          </w:tcPr>
          <w:p w14:paraId="1F5E9EA2" w14:textId="77777777" w:rsidR="00CF7E87" w:rsidRPr="009D0518" w:rsidRDefault="00CF7E87" w:rsidP="00CF7E87">
            <w:pPr>
              <w:pStyle w:val="Tabletext"/>
              <w:spacing w:before="60"/>
            </w:pPr>
            <w:r w:rsidRPr="009D0518">
              <w:t>West</w:t>
            </w:r>
          </w:p>
        </w:tc>
        <w:tc>
          <w:tcPr>
            <w:tcW w:w="2039" w:type="dxa"/>
          </w:tcPr>
          <w:p w14:paraId="0BF87BE8" w14:textId="77777777" w:rsidR="00CF7E87" w:rsidRPr="009D0518" w:rsidRDefault="00CF7E87" w:rsidP="00CF7E87">
            <w:pPr>
              <w:pStyle w:val="StyleTabletextRight"/>
              <w:spacing w:before="60"/>
            </w:pPr>
            <w:r w:rsidRPr="009D0518">
              <w:t>274</w:t>
            </w:r>
          </w:p>
        </w:tc>
        <w:tc>
          <w:tcPr>
            <w:tcW w:w="2039" w:type="dxa"/>
          </w:tcPr>
          <w:p w14:paraId="56B61898" w14:textId="77777777" w:rsidR="00CF7E87" w:rsidRPr="009D0518" w:rsidRDefault="00CF7E87" w:rsidP="00CF7E87">
            <w:pPr>
              <w:pStyle w:val="StyleTabletextRight"/>
              <w:spacing w:before="60"/>
            </w:pPr>
            <w:r w:rsidRPr="009D0518">
              <w:t>383</w:t>
            </w:r>
          </w:p>
        </w:tc>
        <w:tc>
          <w:tcPr>
            <w:tcW w:w="2039" w:type="dxa"/>
          </w:tcPr>
          <w:p w14:paraId="22DA6A98" w14:textId="77777777" w:rsidR="00CF7E87" w:rsidRPr="009D0518" w:rsidRDefault="00CF7E87" w:rsidP="00CF7E87">
            <w:pPr>
              <w:pStyle w:val="StyleTabletextRight"/>
              <w:spacing w:before="60"/>
            </w:pPr>
            <w:r w:rsidRPr="009D0518">
              <w:t>475</w:t>
            </w:r>
          </w:p>
        </w:tc>
        <w:tc>
          <w:tcPr>
            <w:tcW w:w="2039" w:type="dxa"/>
          </w:tcPr>
          <w:p w14:paraId="303807DC" w14:textId="2497B2C3" w:rsidR="00CF7E87" w:rsidRPr="00D06656" w:rsidRDefault="0046234A" w:rsidP="00CF7E87">
            <w:pPr>
              <w:pStyle w:val="Tabletext"/>
              <w:spacing w:before="60"/>
              <w:jc w:val="right"/>
            </w:pPr>
            <w:r w:rsidRPr="00D06656">
              <w:t>755</w:t>
            </w:r>
            <w:r w:rsidR="00CF7E87" w:rsidRPr="00D06656">
              <w:t xml:space="preserve"> </w:t>
            </w:r>
          </w:p>
        </w:tc>
      </w:tr>
    </w:tbl>
    <w:p w14:paraId="40F6EF1A" w14:textId="77777777" w:rsidR="00B41B52" w:rsidRDefault="00B41B52">
      <w:pPr>
        <w:spacing w:after="0" w:line="240" w:lineRule="auto"/>
        <w:rPr>
          <w:rFonts w:eastAsia="MS Gothic" w:cs="Arial"/>
          <w:bCs/>
          <w:color w:val="201547"/>
          <w:kern w:val="32"/>
          <w:sz w:val="32"/>
          <w:szCs w:val="40"/>
        </w:rPr>
      </w:pPr>
      <w:bookmarkStart w:id="11" w:name="_Toc141344183"/>
      <w:r>
        <w:br w:type="page"/>
      </w:r>
    </w:p>
    <w:p w14:paraId="45B0EC06" w14:textId="0133F2D1" w:rsidR="005F5C52" w:rsidRPr="00536ADD" w:rsidRDefault="005F5C52" w:rsidP="00536ADD">
      <w:pPr>
        <w:pStyle w:val="Heading1"/>
      </w:pPr>
      <w:r w:rsidRPr="007136A7">
        <w:lastRenderedPageBreak/>
        <w:t>Number of families receiving an intensive support service</w:t>
      </w:r>
      <w:r w:rsidR="005D11AF" w:rsidRPr="00FB313E">
        <w:rPr>
          <w:rStyle w:val="FooterChar"/>
        </w:rPr>
        <w:fldChar w:fldCharType="begin"/>
      </w:r>
      <w:r w:rsidR="005D11AF" w:rsidRPr="00FB313E">
        <w:rPr>
          <w:rStyle w:val="FooterChar"/>
        </w:rPr>
        <w:instrText xml:space="preserve"> NOTEREF _Ref136523250 \h </w:instrText>
      </w:r>
      <w:r w:rsidR="00756F24" w:rsidRPr="00FB313E">
        <w:rPr>
          <w:rStyle w:val="FooterChar"/>
        </w:rPr>
        <w:instrText xml:space="preserve"> \* MERGEFORMAT </w:instrText>
      </w:r>
      <w:r w:rsidR="005D11AF" w:rsidRPr="00FB313E">
        <w:rPr>
          <w:rStyle w:val="FooterChar"/>
        </w:rPr>
      </w:r>
      <w:r w:rsidR="005D11AF" w:rsidRPr="00FB313E">
        <w:rPr>
          <w:rStyle w:val="FooterChar"/>
        </w:rPr>
        <w:fldChar w:fldCharType="separate"/>
      </w:r>
      <w:r w:rsidR="005D11AF" w:rsidRPr="00FB313E">
        <w:rPr>
          <w:rStyle w:val="FooterChar"/>
        </w:rPr>
        <w:t>1</w:t>
      </w:r>
      <w:bookmarkEnd w:id="11"/>
      <w:r w:rsidR="005D11AF" w:rsidRPr="00FB313E">
        <w:rPr>
          <w:rStyle w:val="FooterChar"/>
        </w:rPr>
        <w:fldChar w:fldCharType="end"/>
      </w:r>
    </w:p>
    <w:p w14:paraId="64F0AF22" w14:textId="77777777" w:rsidR="005F5C52" w:rsidRDefault="005F5C52" w:rsidP="005F5C52">
      <w:pPr>
        <w:pStyle w:val="Body"/>
      </w:pPr>
      <w:r>
        <w:t>The higher 2022-23 target (3,107) reflects reforms to the range of services and an improved approach to counting cases. Count rules for this BP3 were updated for 2022-23, hence not comparable to same time last year. The new count rules have been applied in Q1 and Q2 retrospectively in the below table. The old count rules were applied in the 2022-23 Q1 and Q2 publications.</w:t>
      </w:r>
    </w:p>
    <w:p w14:paraId="64E397C8" w14:textId="77777777" w:rsidR="009D0518" w:rsidRPr="009D0518" w:rsidRDefault="009D0518" w:rsidP="009D0518">
      <w:pPr>
        <w:pStyle w:val="Tablecaption"/>
      </w:pPr>
      <w:r w:rsidRPr="009D0518">
        <w:t>Financial year to date (YTD). Unit of measure: cumulative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9D0518" w14:paraId="3A9A9F89" w14:textId="77777777" w:rsidTr="007E66FF">
        <w:trPr>
          <w:tblHeader/>
        </w:trPr>
        <w:tc>
          <w:tcPr>
            <w:tcW w:w="2038" w:type="dxa"/>
          </w:tcPr>
          <w:p w14:paraId="4CB8DAB9" w14:textId="77777777" w:rsidR="00FE08DE" w:rsidRPr="009D0518" w:rsidRDefault="00FE08DE" w:rsidP="009B6102">
            <w:pPr>
              <w:pStyle w:val="Tablecolhead"/>
            </w:pPr>
            <w:r w:rsidRPr="009D0518">
              <w:t>Division</w:t>
            </w:r>
          </w:p>
        </w:tc>
        <w:tc>
          <w:tcPr>
            <w:tcW w:w="2039" w:type="dxa"/>
          </w:tcPr>
          <w:p w14:paraId="6AABBCBA" w14:textId="77777777" w:rsidR="00FE08DE" w:rsidRPr="009D0518" w:rsidRDefault="00FE08DE" w:rsidP="00594F30">
            <w:pPr>
              <w:pStyle w:val="Tablecolhead"/>
              <w:spacing w:before="60"/>
              <w:jc w:val="right"/>
            </w:pPr>
            <w:r w:rsidRPr="009D0518">
              <w:t>September 2022</w:t>
            </w:r>
          </w:p>
        </w:tc>
        <w:tc>
          <w:tcPr>
            <w:tcW w:w="2039" w:type="dxa"/>
          </w:tcPr>
          <w:p w14:paraId="59741D63" w14:textId="77777777" w:rsidR="00FE08DE" w:rsidRPr="009D0518" w:rsidRDefault="00FE08DE" w:rsidP="00594F30">
            <w:pPr>
              <w:pStyle w:val="Tablecolhead"/>
              <w:spacing w:before="60"/>
              <w:jc w:val="right"/>
            </w:pPr>
            <w:r w:rsidRPr="009D0518">
              <w:t>December 2022</w:t>
            </w:r>
          </w:p>
        </w:tc>
        <w:tc>
          <w:tcPr>
            <w:tcW w:w="2039" w:type="dxa"/>
          </w:tcPr>
          <w:p w14:paraId="5698356E" w14:textId="77777777" w:rsidR="00FE08DE" w:rsidRPr="009D0518" w:rsidRDefault="00FE08DE" w:rsidP="00594F30">
            <w:pPr>
              <w:pStyle w:val="Tablecolhead"/>
              <w:spacing w:before="60"/>
              <w:jc w:val="right"/>
            </w:pPr>
            <w:r w:rsidRPr="009D0518">
              <w:t>March 2023</w:t>
            </w:r>
          </w:p>
        </w:tc>
        <w:tc>
          <w:tcPr>
            <w:tcW w:w="2039" w:type="dxa"/>
          </w:tcPr>
          <w:p w14:paraId="2846AE54" w14:textId="77777777" w:rsidR="00FE08DE" w:rsidRPr="009D0518" w:rsidRDefault="00FE08DE" w:rsidP="00594F30">
            <w:pPr>
              <w:pStyle w:val="Tablecolhead"/>
              <w:spacing w:before="60"/>
              <w:jc w:val="right"/>
            </w:pPr>
            <w:r w:rsidRPr="009D0518">
              <w:t>June 2023</w:t>
            </w:r>
          </w:p>
        </w:tc>
      </w:tr>
      <w:tr w:rsidR="007136A7" w:rsidRPr="009D0518" w14:paraId="3CFE0015" w14:textId="77777777" w:rsidTr="004814ED">
        <w:tc>
          <w:tcPr>
            <w:tcW w:w="2038" w:type="dxa"/>
            <w:shd w:val="clear" w:color="auto" w:fill="CCF0EE"/>
          </w:tcPr>
          <w:p w14:paraId="58E72E7F" w14:textId="77777777" w:rsidR="007136A7" w:rsidRPr="009D0518" w:rsidRDefault="007136A7" w:rsidP="007136A7">
            <w:pPr>
              <w:pStyle w:val="Tabletext"/>
              <w:spacing w:before="60"/>
            </w:pPr>
            <w:r w:rsidRPr="009D0518">
              <w:t>State</w:t>
            </w:r>
          </w:p>
        </w:tc>
        <w:tc>
          <w:tcPr>
            <w:tcW w:w="2039" w:type="dxa"/>
            <w:shd w:val="clear" w:color="auto" w:fill="CCF0EE"/>
          </w:tcPr>
          <w:p w14:paraId="37EFB546" w14:textId="77777777" w:rsidR="007136A7" w:rsidRPr="009D0518" w:rsidRDefault="007136A7" w:rsidP="007136A7">
            <w:pPr>
              <w:pStyle w:val="StyleTabletextRight"/>
              <w:spacing w:before="60"/>
            </w:pPr>
            <w:r w:rsidRPr="009D0518">
              <w:t>552</w:t>
            </w:r>
          </w:p>
        </w:tc>
        <w:tc>
          <w:tcPr>
            <w:tcW w:w="2039" w:type="dxa"/>
            <w:shd w:val="clear" w:color="auto" w:fill="CCF0EE"/>
          </w:tcPr>
          <w:p w14:paraId="020A10EE" w14:textId="77777777" w:rsidR="007136A7" w:rsidRPr="009D0518" w:rsidRDefault="007136A7" w:rsidP="007136A7">
            <w:pPr>
              <w:pStyle w:val="StyleTabletextRight"/>
              <w:spacing w:before="60"/>
            </w:pPr>
            <w:r w:rsidRPr="009D0518">
              <w:t>1,100</w:t>
            </w:r>
          </w:p>
        </w:tc>
        <w:tc>
          <w:tcPr>
            <w:tcW w:w="2039" w:type="dxa"/>
            <w:shd w:val="clear" w:color="auto" w:fill="CCF0EE"/>
          </w:tcPr>
          <w:p w14:paraId="57382D69" w14:textId="77777777" w:rsidR="007136A7" w:rsidRPr="009D0518" w:rsidRDefault="007136A7" w:rsidP="007136A7">
            <w:pPr>
              <w:pStyle w:val="StyleTabletextRight"/>
              <w:spacing w:before="60"/>
            </w:pPr>
            <w:r w:rsidRPr="009D0518">
              <w:t>1,687</w:t>
            </w:r>
          </w:p>
        </w:tc>
        <w:tc>
          <w:tcPr>
            <w:tcW w:w="2039" w:type="dxa"/>
            <w:shd w:val="clear" w:color="auto" w:fill="CCF0EE"/>
          </w:tcPr>
          <w:p w14:paraId="213302C5" w14:textId="272D4605" w:rsidR="007136A7" w:rsidRPr="009D0518" w:rsidRDefault="007136A7" w:rsidP="007136A7">
            <w:pPr>
              <w:pStyle w:val="Tabletext"/>
              <w:spacing w:before="60"/>
              <w:jc w:val="right"/>
            </w:pPr>
            <w:r w:rsidRPr="00C316DB">
              <w:t xml:space="preserve"> 2,615 </w:t>
            </w:r>
          </w:p>
        </w:tc>
      </w:tr>
      <w:tr w:rsidR="007136A7" w:rsidRPr="009D0518" w14:paraId="2A36AAE7" w14:textId="77777777" w:rsidTr="00FE08DE">
        <w:tc>
          <w:tcPr>
            <w:tcW w:w="2038" w:type="dxa"/>
          </w:tcPr>
          <w:p w14:paraId="7755E82A" w14:textId="77777777" w:rsidR="007136A7" w:rsidRPr="009D0518" w:rsidRDefault="007136A7" w:rsidP="007136A7">
            <w:pPr>
              <w:pStyle w:val="Tabletext"/>
              <w:spacing w:before="60"/>
            </w:pPr>
            <w:r w:rsidRPr="009D0518">
              <w:t>North</w:t>
            </w:r>
          </w:p>
        </w:tc>
        <w:tc>
          <w:tcPr>
            <w:tcW w:w="2039" w:type="dxa"/>
          </w:tcPr>
          <w:p w14:paraId="35B8787D" w14:textId="77777777" w:rsidR="007136A7" w:rsidRPr="009D0518" w:rsidRDefault="007136A7" w:rsidP="007136A7">
            <w:pPr>
              <w:pStyle w:val="StyleTabletextRight"/>
              <w:spacing w:before="60"/>
            </w:pPr>
            <w:r w:rsidRPr="009D0518">
              <w:t>143</w:t>
            </w:r>
          </w:p>
        </w:tc>
        <w:tc>
          <w:tcPr>
            <w:tcW w:w="2039" w:type="dxa"/>
          </w:tcPr>
          <w:p w14:paraId="00F3162D" w14:textId="77777777" w:rsidR="007136A7" w:rsidRPr="009D0518" w:rsidRDefault="007136A7" w:rsidP="007136A7">
            <w:pPr>
              <w:pStyle w:val="StyleTabletextRight"/>
              <w:spacing w:before="60"/>
            </w:pPr>
            <w:r w:rsidRPr="009D0518">
              <w:t>256</w:t>
            </w:r>
          </w:p>
        </w:tc>
        <w:tc>
          <w:tcPr>
            <w:tcW w:w="2039" w:type="dxa"/>
          </w:tcPr>
          <w:p w14:paraId="08A669C2" w14:textId="77777777" w:rsidR="007136A7" w:rsidRPr="009D0518" w:rsidRDefault="007136A7" w:rsidP="007136A7">
            <w:pPr>
              <w:pStyle w:val="StyleTabletextRight"/>
              <w:spacing w:before="60"/>
            </w:pPr>
            <w:r w:rsidRPr="009D0518">
              <w:t>384</w:t>
            </w:r>
          </w:p>
        </w:tc>
        <w:tc>
          <w:tcPr>
            <w:tcW w:w="2039" w:type="dxa"/>
          </w:tcPr>
          <w:p w14:paraId="7333EDCC" w14:textId="0EE40689" w:rsidR="007136A7" w:rsidRPr="009D0518" w:rsidRDefault="007136A7" w:rsidP="007136A7">
            <w:pPr>
              <w:pStyle w:val="Tabletext"/>
              <w:spacing w:before="60"/>
              <w:jc w:val="right"/>
            </w:pPr>
            <w:r w:rsidRPr="00C316DB">
              <w:t>668</w:t>
            </w:r>
          </w:p>
        </w:tc>
      </w:tr>
      <w:tr w:rsidR="007136A7" w:rsidRPr="009D0518" w14:paraId="762BC3A9" w14:textId="77777777" w:rsidTr="00FE08DE">
        <w:tc>
          <w:tcPr>
            <w:tcW w:w="2038" w:type="dxa"/>
          </w:tcPr>
          <w:p w14:paraId="0E471E7D" w14:textId="77777777" w:rsidR="007136A7" w:rsidRPr="009D0518" w:rsidRDefault="007136A7" w:rsidP="007136A7">
            <w:pPr>
              <w:pStyle w:val="Tabletext"/>
              <w:spacing w:before="60"/>
            </w:pPr>
            <w:r w:rsidRPr="009D0518">
              <w:t>South</w:t>
            </w:r>
          </w:p>
        </w:tc>
        <w:tc>
          <w:tcPr>
            <w:tcW w:w="2039" w:type="dxa"/>
          </w:tcPr>
          <w:p w14:paraId="59694839" w14:textId="77777777" w:rsidR="007136A7" w:rsidRPr="009D0518" w:rsidRDefault="007136A7" w:rsidP="007136A7">
            <w:pPr>
              <w:pStyle w:val="StyleTabletextRight"/>
              <w:spacing w:before="60"/>
            </w:pPr>
            <w:r w:rsidRPr="009D0518">
              <w:t>150</w:t>
            </w:r>
          </w:p>
        </w:tc>
        <w:tc>
          <w:tcPr>
            <w:tcW w:w="2039" w:type="dxa"/>
          </w:tcPr>
          <w:p w14:paraId="37048FFE" w14:textId="77777777" w:rsidR="007136A7" w:rsidRPr="009D0518" w:rsidRDefault="007136A7" w:rsidP="007136A7">
            <w:pPr>
              <w:pStyle w:val="StyleTabletextRight"/>
              <w:spacing w:before="60"/>
            </w:pPr>
            <w:r w:rsidRPr="009D0518">
              <w:t>294</w:t>
            </w:r>
          </w:p>
        </w:tc>
        <w:tc>
          <w:tcPr>
            <w:tcW w:w="2039" w:type="dxa"/>
          </w:tcPr>
          <w:p w14:paraId="4514E295" w14:textId="77777777" w:rsidR="007136A7" w:rsidRPr="009D0518" w:rsidRDefault="007136A7" w:rsidP="007136A7">
            <w:pPr>
              <w:pStyle w:val="StyleTabletextRight"/>
              <w:spacing w:before="60"/>
            </w:pPr>
            <w:r w:rsidRPr="009D0518">
              <w:t>448</w:t>
            </w:r>
          </w:p>
        </w:tc>
        <w:tc>
          <w:tcPr>
            <w:tcW w:w="2039" w:type="dxa"/>
          </w:tcPr>
          <w:p w14:paraId="4D4549C4" w14:textId="5CDB7A07" w:rsidR="007136A7" w:rsidRPr="009D0518" w:rsidRDefault="007136A7" w:rsidP="007136A7">
            <w:pPr>
              <w:pStyle w:val="Tabletext"/>
              <w:spacing w:before="60"/>
              <w:jc w:val="right"/>
            </w:pPr>
            <w:r w:rsidRPr="00C316DB">
              <w:t>822</w:t>
            </w:r>
          </w:p>
        </w:tc>
      </w:tr>
      <w:tr w:rsidR="007136A7" w:rsidRPr="009D0518" w14:paraId="55F08A25" w14:textId="77777777" w:rsidTr="00FE08DE">
        <w:tc>
          <w:tcPr>
            <w:tcW w:w="2038" w:type="dxa"/>
          </w:tcPr>
          <w:p w14:paraId="07FE13F9" w14:textId="77777777" w:rsidR="007136A7" w:rsidRPr="009D0518" w:rsidRDefault="007136A7" w:rsidP="007136A7">
            <w:pPr>
              <w:pStyle w:val="Tabletext"/>
              <w:spacing w:before="60"/>
            </w:pPr>
            <w:r w:rsidRPr="009D0518">
              <w:t>East</w:t>
            </w:r>
          </w:p>
        </w:tc>
        <w:tc>
          <w:tcPr>
            <w:tcW w:w="2039" w:type="dxa"/>
          </w:tcPr>
          <w:p w14:paraId="3950E863" w14:textId="77777777" w:rsidR="007136A7" w:rsidRPr="009D0518" w:rsidRDefault="007136A7" w:rsidP="007136A7">
            <w:pPr>
              <w:pStyle w:val="StyleTabletextRight"/>
              <w:spacing w:before="60"/>
            </w:pPr>
            <w:r w:rsidRPr="009D0518">
              <w:t>96</w:t>
            </w:r>
          </w:p>
        </w:tc>
        <w:tc>
          <w:tcPr>
            <w:tcW w:w="2039" w:type="dxa"/>
          </w:tcPr>
          <w:p w14:paraId="6FEFE8E4" w14:textId="77777777" w:rsidR="007136A7" w:rsidRPr="009D0518" w:rsidRDefault="007136A7" w:rsidP="007136A7">
            <w:pPr>
              <w:pStyle w:val="StyleTabletextRight"/>
              <w:spacing w:before="60"/>
            </w:pPr>
            <w:r w:rsidRPr="009D0518">
              <w:t>193</w:t>
            </w:r>
          </w:p>
        </w:tc>
        <w:tc>
          <w:tcPr>
            <w:tcW w:w="2039" w:type="dxa"/>
          </w:tcPr>
          <w:p w14:paraId="61C6653E" w14:textId="77777777" w:rsidR="007136A7" w:rsidRPr="009D0518" w:rsidRDefault="007136A7" w:rsidP="007136A7">
            <w:pPr>
              <w:pStyle w:val="StyleTabletextRight"/>
              <w:spacing w:before="60"/>
            </w:pPr>
            <w:r w:rsidRPr="009D0518">
              <w:t>307</w:t>
            </w:r>
          </w:p>
        </w:tc>
        <w:tc>
          <w:tcPr>
            <w:tcW w:w="2039" w:type="dxa"/>
          </w:tcPr>
          <w:p w14:paraId="1326E374" w14:textId="6AE54A96" w:rsidR="007136A7" w:rsidRPr="009D0518" w:rsidRDefault="007136A7" w:rsidP="007136A7">
            <w:pPr>
              <w:pStyle w:val="Tabletext"/>
              <w:spacing w:before="60"/>
              <w:jc w:val="right"/>
            </w:pPr>
            <w:r w:rsidRPr="00C316DB">
              <w:t xml:space="preserve"> 444 </w:t>
            </w:r>
          </w:p>
        </w:tc>
      </w:tr>
      <w:tr w:rsidR="007136A7" w:rsidRPr="009D0518" w14:paraId="1AFA5E95" w14:textId="77777777" w:rsidTr="00FE08DE">
        <w:tc>
          <w:tcPr>
            <w:tcW w:w="2038" w:type="dxa"/>
          </w:tcPr>
          <w:p w14:paraId="07F07F57" w14:textId="77777777" w:rsidR="007136A7" w:rsidRPr="009D0518" w:rsidRDefault="007136A7" w:rsidP="007136A7">
            <w:pPr>
              <w:pStyle w:val="Tabletext"/>
              <w:spacing w:before="60"/>
            </w:pPr>
            <w:r w:rsidRPr="009D0518">
              <w:t>West</w:t>
            </w:r>
          </w:p>
        </w:tc>
        <w:tc>
          <w:tcPr>
            <w:tcW w:w="2039" w:type="dxa"/>
          </w:tcPr>
          <w:p w14:paraId="3051F48A" w14:textId="77777777" w:rsidR="007136A7" w:rsidRPr="009D0518" w:rsidRDefault="007136A7" w:rsidP="007136A7">
            <w:pPr>
              <w:pStyle w:val="StyleTabletextRight"/>
              <w:spacing w:before="60"/>
            </w:pPr>
            <w:r w:rsidRPr="009D0518">
              <w:t>163</w:t>
            </w:r>
          </w:p>
        </w:tc>
        <w:tc>
          <w:tcPr>
            <w:tcW w:w="2039" w:type="dxa"/>
          </w:tcPr>
          <w:p w14:paraId="531F13FE" w14:textId="77777777" w:rsidR="007136A7" w:rsidRPr="009D0518" w:rsidRDefault="007136A7" w:rsidP="007136A7">
            <w:pPr>
              <w:pStyle w:val="StyleTabletextRight"/>
              <w:spacing w:before="60"/>
            </w:pPr>
            <w:r w:rsidRPr="009D0518">
              <w:t>357</w:t>
            </w:r>
          </w:p>
        </w:tc>
        <w:tc>
          <w:tcPr>
            <w:tcW w:w="2039" w:type="dxa"/>
          </w:tcPr>
          <w:p w14:paraId="6A4EEA83" w14:textId="77777777" w:rsidR="007136A7" w:rsidRPr="009D0518" w:rsidRDefault="007136A7" w:rsidP="007136A7">
            <w:pPr>
              <w:pStyle w:val="StyleTabletextRight"/>
              <w:spacing w:before="60"/>
            </w:pPr>
            <w:r w:rsidRPr="009D0518">
              <w:t>548</w:t>
            </w:r>
          </w:p>
        </w:tc>
        <w:tc>
          <w:tcPr>
            <w:tcW w:w="2039" w:type="dxa"/>
          </w:tcPr>
          <w:p w14:paraId="70878B5D" w14:textId="796B59D8" w:rsidR="007136A7" w:rsidRPr="009D0518" w:rsidRDefault="007136A7" w:rsidP="007136A7">
            <w:pPr>
              <w:pStyle w:val="Tabletext"/>
              <w:spacing w:before="60"/>
              <w:jc w:val="right"/>
            </w:pPr>
            <w:r w:rsidRPr="00C316DB">
              <w:t xml:space="preserve"> 681 </w:t>
            </w:r>
          </w:p>
        </w:tc>
      </w:tr>
    </w:tbl>
    <w:p w14:paraId="0FE85517" w14:textId="45627D04" w:rsidR="005F5C52" w:rsidRPr="00683074" w:rsidRDefault="005F5C52" w:rsidP="00536ADD">
      <w:pPr>
        <w:pStyle w:val="Heading1"/>
      </w:pPr>
      <w:bookmarkStart w:id="12" w:name="_Toc141344184"/>
      <w:r w:rsidRPr="00683074">
        <w:t>Number of intensive support services provided to Aboriginal families</w:t>
      </w:r>
      <w:r w:rsidR="00756F24" w:rsidRPr="00E773BF">
        <w:rPr>
          <w:rStyle w:val="FooterChar"/>
        </w:rPr>
        <w:footnoteReference w:id="3"/>
      </w:r>
      <w:bookmarkEnd w:id="12"/>
    </w:p>
    <w:p w14:paraId="4862C0A2" w14:textId="77777777" w:rsidR="005F5C52" w:rsidRDefault="005F5C52" w:rsidP="00A946B4">
      <w:pPr>
        <w:pStyle w:val="Body"/>
      </w:pPr>
      <w:r>
        <w:t>New performance measure for 2022-23 to reflect Government priorities regarding family supports provided to Aboriginal families to prevent entry to care or support reunification. The Annual target is 839.</w:t>
      </w:r>
    </w:p>
    <w:p w14:paraId="5371FE3A" w14:textId="36F2A4E3" w:rsidR="009D0518" w:rsidRDefault="009D0518" w:rsidP="009D0518">
      <w:pPr>
        <w:pStyle w:val="Tablecaption"/>
      </w:pPr>
      <w:r>
        <w:t>Financial year to date (YTD). Unit of measure: cumulative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9D0518" w14:paraId="7454FDAF" w14:textId="77777777" w:rsidTr="3F0EB9B4">
        <w:trPr>
          <w:tblHeader/>
        </w:trPr>
        <w:tc>
          <w:tcPr>
            <w:tcW w:w="2038" w:type="dxa"/>
          </w:tcPr>
          <w:p w14:paraId="0C01F9FB" w14:textId="77777777" w:rsidR="00FE08DE" w:rsidRPr="009D0518" w:rsidRDefault="00FE08DE" w:rsidP="009D0518">
            <w:pPr>
              <w:pStyle w:val="Tablecolhead"/>
            </w:pPr>
            <w:r w:rsidRPr="009D0518">
              <w:t>Division</w:t>
            </w:r>
          </w:p>
        </w:tc>
        <w:tc>
          <w:tcPr>
            <w:tcW w:w="2039" w:type="dxa"/>
          </w:tcPr>
          <w:p w14:paraId="42DFC0CA" w14:textId="77777777" w:rsidR="00FE08DE" w:rsidRPr="009D0518" w:rsidRDefault="00FE08DE" w:rsidP="009D0518">
            <w:pPr>
              <w:pStyle w:val="Tablecolhead"/>
              <w:jc w:val="right"/>
            </w:pPr>
            <w:r w:rsidRPr="009D0518">
              <w:t>September 2022</w:t>
            </w:r>
          </w:p>
        </w:tc>
        <w:tc>
          <w:tcPr>
            <w:tcW w:w="2039" w:type="dxa"/>
          </w:tcPr>
          <w:p w14:paraId="1CF3DE7A" w14:textId="77777777" w:rsidR="00FE08DE" w:rsidRPr="009D0518" w:rsidRDefault="00FE08DE" w:rsidP="009D0518">
            <w:pPr>
              <w:pStyle w:val="Tablecolhead"/>
              <w:jc w:val="right"/>
            </w:pPr>
            <w:r w:rsidRPr="009D0518">
              <w:t>December 2022</w:t>
            </w:r>
          </w:p>
        </w:tc>
        <w:tc>
          <w:tcPr>
            <w:tcW w:w="2039" w:type="dxa"/>
          </w:tcPr>
          <w:p w14:paraId="52AAA0AC" w14:textId="77777777" w:rsidR="00FE08DE" w:rsidRPr="009D0518" w:rsidRDefault="00FE08DE" w:rsidP="009D0518">
            <w:pPr>
              <w:pStyle w:val="Tablecolhead"/>
              <w:jc w:val="right"/>
            </w:pPr>
            <w:r w:rsidRPr="009D0518">
              <w:t>March 2023</w:t>
            </w:r>
          </w:p>
        </w:tc>
        <w:tc>
          <w:tcPr>
            <w:tcW w:w="2039" w:type="dxa"/>
          </w:tcPr>
          <w:p w14:paraId="76E2C2B8" w14:textId="77777777" w:rsidR="00FE08DE" w:rsidRPr="009D0518" w:rsidRDefault="00FE08DE" w:rsidP="009D0518">
            <w:pPr>
              <w:pStyle w:val="Tablecolhead"/>
              <w:jc w:val="right"/>
            </w:pPr>
            <w:r w:rsidRPr="009D0518">
              <w:t>June 2023</w:t>
            </w:r>
          </w:p>
        </w:tc>
      </w:tr>
      <w:tr w:rsidR="00BB43F0" w:rsidRPr="009D0518" w14:paraId="0512DC24" w14:textId="77777777" w:rsidTr="3F0EB9B4">
        <w:trPr>
          <w:tblHeader/>
        </w:trPr>
        <w:tc>
          <w:tcPr>
            <w:tcW w:w="2038" w:type="dxa"/>
            <w:shd w:val="clear" w:color="auto" w:fill="DAEEF3" w:themeFill="accent5" w:themeFillTint="33"/>
          </w:tcPr>
          <w:p w14:paraId="7B9511B1" w14:textId="77777777" w:rsidR="00BB43F0" w:rsidRPr="009D0518" w:rsidRDefault="00BB43F0" w:rsidP="00BB43F0">
            <w:pPr>
              <w:pStyle w:val="Tabletext"/>
            </w:pPr>
            <w:r w:rsidRPr="009D0518">
              <w:t>State</w:t>
            </w:r>
          </w:p>
        </w:tc>
        <w:tc>
          <w:tcPr>
            <w:tcW w:w="2039" w:type="dxa"/>
            <w:shd w:val="clear" w:color="auto" w:fill="DAEEF3" w:themeFill="accent5" w:themeFillTint="33"/>
          </w:tcPr>
          <w:p w14:paraId="20D49B87" w14:textId="77777777" w:rsidR="00BB43F0" w:rsidRPr="009D0518" w:rsidRDefault="00BB43F0" w:rsidP="00BB43F0">
            <w:pPr>
              <w:pStyle w:val="StyleTabletextRight"/>
            </w:pPr>
            <w:r w:rsidRPr="009D0518">
              <w:t>106</w:t>
            </w:r>
          </w:p>
        </w:tc>
        <w:tc>
          <w:tcPr>
            <w:tcW w:w="2039" w:type="dxa"/>
            <w:shd w:val="clear" w:color="auto" w:fill="DAEEF3" w:themeFill="accent5" w:themeFillTint="33"/>
          </w:tcPr>
          <w:p w14:paraId="175F56FF" w14:textId="77777777" w:rsidR="00BB43F0" w:rsidRPr="009D0518" w:rsidRDefault="00BB43F0" w:rsidP="00BB43F0">
            <w:pPr>
              <w:pStyle w:val="StyleTabletextRight"/>
            </w:pPr>
            <w:r w:rsidRPr="009D0518">
              <w:t>183</w:t>
            </w:r>
          </w:p>
        </w:tc>
        <w:tc>
          <w:tcPr>
            <w:tcW w:w="2039" w:type="dxa"/>
            <w:shd w:val="clear" w:color="auto" w:fill="DAEEF3" w:themeFill="accent5" w:themeFillTint="33"/>
          </w:tcPr>
          <w:p w14:paraId="3F993D05" w14:textId="77777777" w:rsidR="00BB43F0" w:rsidRPr="009D0518" w:rsidRDefault="00BB43F0" w:rsidP="00BB43F0">
            <w:pPr>
              <w:pStyle w:val="StyleTabletextRight"/>
            </w:pPr>
            <w:r w:rsidRPr="009D0518">
              <w:t>288</w:t>
            </w:r>
          </w:p>
        </w:tc>
        <w:tc>
          <w:tcPr>
            <w:tcW w:w="2039" w:type="dxa"/>
            <w:shd w:val="clear" w:color="auto" w:fill="DAEEF3" w:themeFill="accent5" w:themeFillTint="33"/>
          </w:tcPr>
          <w:p w14:paraId="74C6AE1F" w14:textId="788DBF1F" w:rsidR="00BB43F0" w:rsidRPr="009D0518" w:rsidRDefault="00BB43F0" w:rsidP="00BB43F0">
            <w:pPr>
              <w:pStyle w:val="Tabletext"/>
              <w:jc w:val="right"/>
            </w:pPr>
            <w:r>
              <w:t xml:space="preserve"> 598</w:t>
            </w:r>
          </w:p>
        </w:tc>
      </w:tr>
      <w:tr w:rsidR="00BB43F0" w:rsidRPr="009D0518" w14:paraId="2988E842" w14:textId="77777777" w:rsidTr="3F0EB9B4">
        <w:trPr>
          <w:tblHeader/>
        </w:trPr>
        <w:tc>
          <w:tcPr>
            <w:tcW w:w="2038" w:type="dxa"/>
          </w:tcPr>
          <w:p w14:paraId="3F9414BD" w14:textId="77777777" w:rsidR="00BB43F0" w:rsidRPr="009D0518" w:rsidRDefault="00BB43F0" w:rsidP="00BB43F0">
            <w:pPr>
              <w:pStyle w:val="Tabletext"/>
            </w:pPr>
            <w:r w:rsidRPr="009D0518">
              <w:t>North</w:t>
            </w:r>
          </w:p>
        </w:tc>
        <w:tc>
          <w:tcPr>
            <w:tcW w:w="2039" w:type="dxa"/>
          </w:tcPr>
          <w:p w14:paraId="2EEC7153" w14:textId="77777777" w:rsidR="00BB43F0" w:rsidRPr="009D0518" w:rsidRDefault="00BB43F0" w:rsidP="00BB43F0">
            <w:pPr>
              <w:pStyle w:val="StyleTabletextRight"/>
            </w:pPr>
            <w:r w:rsidRPr="009D0518">
              <w:t>33</w:t>
            </w:r>
          </w:p>
        </w:tc>
        <w:tc>
          <w:tcPr>
            <w:tcW w:w="2039" w:type="dxa"/>
          </w:tcPr>
          <w:p w14:paraId="3FC44EC0" w14:textId="77777777" w:rsidR="00BB43F0" w:rsidRPr="009D0518" w:rsidRDefault="00BB43F0" w:rsidP="00BB43F0">
            <w:pPr>
              <w:pStyle w:val="StyleTabletextRight"/>
            </w:pPr>
            <w:r w:rsidRPr="009D0518">
              <w:t>48</w:t>
            </w:r>
          </w:p>
        </w:tc>
        <w:tc>
          <w:tcPr>
            <w:tcW w:w="2039" w:type="dxa"/>
          </w:tcPr>
          <w:p w14:paraId="690DEE2B" w14:textId="77777777" w:rsidR="00BB43F0" w:rsidRPr="009D0518" w:rsidRDefault="00BB43F0" w:rsidP="00BB43F0">
            <w:pPr>
              <w:pStyle w:val="StyleTabletextRight"/>
            </w:pPr>
            <w:r w:rsidRPr="009D0518">
              <w:t>73</w:t>
            </w:r>
          </w:p>
        </w:tc>
        <w:tc>
          <w:tcPr>
            <w:tcW w:w="2039" w:type="dxa"/>
          </w:tcPr>
          <w:p w14:paraId="5676E054" w14:textId="30AAD812" w:rsidR="00BB43F0" w:rsidRPr="009D0518" w:rsidRDefault="00BB43F0" w:rsidP="00BB43F0">
            <w:pPr>
              <w:pStyle w:val="Tabletext"/>
              <w:jc w:val="right"/>
            </w:pPr>
            <w:r w:rsidRPr="00FE6934">
              <w:t>130</w:t>
            </w:r>
          </w:p>
        </w:tc>
      </w:tr>
      <w:tr w:rsidR="00BB43F0" w:rsidRPr="009D0518" w14:paraId="059BC268" w14:textId="77777777" w:rsidTr="3F0EB9B4">
        <w:trPr>
          <w:tblHeader/>
        </w:trPr>
        <w:tc>
          <w:tcPr>
            <w:tcW w:w="2038" w:type="dxa"/>
          </w:tcPr>
          <w:p w14:paraId="0442FB7B" w14:textId="77777777" w:rsidR="00BB43F0" w:rsidRPr="009D0518" w:rsidRDefault="00BB43F0" w:rsidP="00BB43F0">
            <w:pPr>
              <w:pStyle w:val="Tabletext"/>
            </w:pPr>
            <w:r w:rsidRPr="009D0518">
              <w:t>South</w:t>
            </w:r>
          </w:p>
        </w:tc>
        <w:tc>
          <w:tcPr>
            <w:tcW w:w="2039" w:type="dxa"/>
          </w:tcPr>
          <w:p w14:paraId="18B64673" w14:textId="77777777" w:rsidR="00BB43F0" w:rsidRPr="009D0518" w:rsidRDefault="00BB43F0" w:rsidP="00BB43F0">
            <w:pPr>
              <w:pStyle w:val="StyleTabletextRight"/>
            </w:pPr>
            <w:r w:rsidRPr="009D0518">
              <w:t>28</w:t>
            </w:r>
          </w:p>
        </w:tc>
        <w:tc>
          <w:tcPr>
            <w:tcW w:w="2039" w:type="dxa"/>
          </w:tcPr>
          <w:p w14:paraId="23B95610" w14:textId="77777777" w:rsidR="00BB43F0" w:rsidRPr="009D0518" w:rsidRDefault="00BB43F0" w:rsidP="00BB43F0">
            <w:pPr>
              <w:pStyle w:val="StyleTabletextRight"/>
            </w:pPr>
            <w:r w:rsidRPr="009D0518">
              <w:t>53</w:t>
            </w:r>
          </w:p>
        </w:tc>
        <w:tc>
          <w:tcPr>
            <w:tcW w:w="2039" w:type="dxa"/>
          </w:tcPr>
          <w:p w14:paraId="182764B4" w14:textId="77777777" w:rsidR="00BB43F0" w:rsidRPr="009D0518" w:rsidRDefault="00BB43F0" w:rsidP="00BB43F0">
            <w:pPr>
              <w:pStyle w:val="StyleTabletextRight"/>
            </w:pPr>
            <w:r w:rsidRPr="009D0518">
              <w:t>81</w:t>
            </w:r>
          </w:p>
        </w:tc>
        <w:tc>
          <w:tcPr>
            <w:tcW w:w="2039" w:type="dxa"/>
          </w:tcPr>
          <w:p w14:paraId="3A4F0C68" w14:textId="25300714" w:rsidR="00BB43F0" w:rsidRPr="009D0518" w:rsidRDefault="00BB43F0" w:rsidP="00BB43F0">
            <w:pPr>
              <w:pStyle w:val="Tabletext"/>
              <w:jc w:val="right"/>
            </w:pPr>
            <w:r w:rsidRPr="00FE6934">
              <w:t>201</w:t>
            </w:r>
          </w:p>
        </w:tc>
      </w:tr>
      <w:tr w:rsidR="00BB43F0" w:rsidRPr="009D0518" w14:paraId="281DC7C7" w14:textId="77777777" w:rsidTr="3F0EB9B4">
        <w:trPr>
          <w:tblHeader/>
        </w:trPr>
        <w:tc>
          <w:tcPr>
            <w:tcW w:w="2038" w:type="dxa"/>
          </w:tcPr>
          <w:p w14:paraId="437DD457" w14:textId="77777777" w:rsidR="00BB43F0" w:rsidRPr="009D0518" w:rsidRDefault="00BB43F0" w:rsidP="00BB43F0">
            <w:pPr>
              <w:pStyle w:val="Tabletext"/>
            </w:pPr>
            <w:r w:rsidRPr="009D0518">
              <w:t>East</w:t>
            </w:r>
          </w:p>
        </w:tc>
        <w:tc>
          <w:tcPr>
            <w:tcW w:w="2039" w:type="dxa"/>
          </w:tcPr>
          <w:p w14:paraId="4D47EF29" w14:textId="77777777" w:rsidR="00BB43F0" w:rsidRPr="009D0518" w:rsidRDefault="00BB43F0" w:rsidP="00BB43F0">
            <w:pPr>
              <w:pStyle w:val="StyleTabletextRight"/>
            </w:pPr>
            <w:r w:rsidRPr="009D0518">
              <w:t>11</w:t>
            </w:r>
          </w:p>
        </w:tc>
        <w:tc>
          <w:tcPr>
            <w:tcW w:w="2039" w:type="dxa"/>
          </w:tcPr>
          <w:p w14:paraId="5BAEE4C4" w14:textId="77777777" w:rsidR="00BB43F0" w:rsidRPr="009D0518" w:rsidRDefault="00BB43F0" w:rsidP="00BB43F0">
            <w:pPr>
              <w:pStyle w:val="StyleTabletextRight"/>
            </w:pPr>
            <w:r w:rsidRPr="009D0518">
              <w:t>23</w:t>
            </w:r>
          </w:p>
        </w:tc>
        <w:tc>
          <w:tcPr>
            <w:tcW w:w="2039" w:type="dxa"/>
          </w:tcPr>
          <w:p w14:paraId="5F8B0A1E" w14:textId="77777777" w:rsidR="00BB43F0" w:rsidRPr="009D0518" w:rsidRDefault="00BB43F0" w:rsidP="00BB43F0">
            <w:pPr>
              <w:pStyle w:val="StyleTabletextRight"/>
            </w:pPr>
            <w:r w:rsidRPr="009D0518">
              <w:t>41</w:t>
            </w:r>
          </w:p>
        </w:tc>
        <w:tc>
          <w:tcPr>
            <w:tcW w:w="2039" w:type="dxa"/>
          </w:tcPr>
          <w:p w14:paraId="741015B5" w14:textId="3221C87E" w:rsidR="00BB43F0" w:rsidRPr="00D06656" w:rsidRDefault="00BB43F0" w:rsidP="00BB43F0">
            <w:pPr>
              <w:pStyle w:val="Tabletext"/>
              <w:jc w:val="right"/>
            </w:pPr>
            <w:r w:rsidRPr="00D06656">
              <w:t xml:space="preserve"> </w:t>
            </w:r>
            <w:r w:rsidR="00DF7F39" w:rsidRPr="00D06656">
              <w:t>101</w:t>
            </w:r>
          </w:p>
        </w:tc>
      </w:tr>
      <w:tr w:rsidR="00BB43F0" w:rsidRPr="009D0518" w14:paraId="0FF7C40B" w14:textId="77777777" w:rsidTr="3F0EB9B4">
        <w:trPr>
          <w:tblHeader/>
        </w:trPr>
        <w:tc>
          <w:tcPr>
            <w:tcW w:w="2038" w:type="dxa"/>
          </w:tcPr>
          <w:p w14:paraId="1985DD0F" w14:textId="77777777" w:rsidR="00BB43F0" w:rsidRPr="009D0518" w:rsidRDefault="00BB43F0" w:rsidP="00BB43F0">
            <w:pPr>
              <w:pStyle w:val="Tabletext"/>
            </w:pPr>
            <w:r w:rsidRPr="009D0518">
              <w:t>West</w:t>
            </w:r>
          </w:p>
        </w:tc>
        <w:tc>
          <w:tcPr>
            <w:tcW w:w="2039" w:type="dxa"/>
          </w:tcPr>
          <w:p w14:paraId="3F7E5207" w14:textId="77777777" w:rsidR="00BB43F0" w:rsidRPr="009D0518" w:rsidRDefault="00BB43F0" w:rsidP="00BB43F0">
            <w:pPr>
              <w:pStyle w:val="StyleTabletextRight"/>
            </w:pPr>
            <w:r w:rsidRPr="009D0518">
              <w:t>34</w:t>
            </w:r>
          </w:p>
        </w:tc>
        <w:tc>
          <w:tcPr>
            <w:tcW w:w="2039" w:type="dxa"/>
          </w:tcPr>
          <w:p w14:paraId="6C1DBE9E" w14:textId="77777777" w:rsidR="00BB43F0" w:rsidRPr="009D0518" w:rsidRDefault="00BB43F0" w:rsidP="00BB43F0">
            <w:pPr>
              <w:pStyle w:val="StyleTabletextRight"/>
            </w:pPr>
            <w:r w:rsidRPr="009D0518">
              <w:t>59</w:t>
            </w:r>
          </w:p>
        </w:tc>
        <w:tc>
          <w:tcPr>
            <w:tcW w:w="2039" w:type="dxa"/>
          </w:tcPr>
          <w:p w14:paraId="4C2698B3" w14:textId="77777777" w:rsidR="00BB43F0" w:rsidRPr="009D0518" w:rsidRDefault="00BB43F0" w:rsidP="00BB43F0">
            <w:pPr>
              <w:pStyle w:val="StyleTabletextRight"/>
            </w:pPr>
            <w:r w:rsidRPr="009D0518">
              <w:t>93</w:t>
            </w:r>
          </w:p>
        </w:tc>
        <w:tc>
          <w:tcPr>
            <w:tcW w:w="2039" w:type="dxa"/>
          </w:tcPr>
          <w:p w14:paraId="7FBCFB0B" w14:textId="734B82F9" w:rsidR="00BB43F0" w:rsidRPr="00D06656" w:rsidRDefault="00BB43F0" w:rsidP="00BB43F0">
            <w:pPr>
              <w:pStyle w:val="Tabletext"/>
              <w:jc w:val="right"/>
            </w:pPr>
            <w:r w:rsidRPr="00D06656">
              <w:t xml:space="preserve"> </w:t>
            </w:r>
            <w:r w:rsidR="00DF7F39" w:rsidRPr="00D06656">
              <w:t>166</w:t>
            </w:r>
            <w:r w:rsidRPr="00D06656">
              <w:t xml:space="preserve"> </w:t>
            </w:r>
          </w:p>
        </w:tc>
      </w:tr>
    </w:tbl>
    <w:p w14:paraId="4BADF02A" w14:textId="77777777" w:rsidR="005F5C52" w:rsidRPr="00E773BF" w:rsidRDefault="005F5C52" w:rsidP="00536ADD">
      <w:pPr>
        <w:pStyle w:val="Heading1"/>
      </w:pPr>
      <w:bookmarkStart w:id="13" w:name="_Toc141344185"/>
      <w:r w:rsidRPr="00536ADD">
        <w:t xml:space="preserve">Daily average number of children in care placements </w:t>
      </w:r>
      <w:r w:rsidRPr="00E773BF">
        <w:t>(excl. permanent care)</w:t>
      </w:r>
      <w:bookmarkEnd w:id="13"/>
    </w:p>
    <w:p w14:paraId="3802E730" w14:textId="626BDFDF" w:rsidR="009D0518" w:rsidRDefault="009D0518" w:rsidP="005F5C52">
      <w:pPr>
        <w:pStyle w:val="Body"/>
      </w:pPr>
      <w:r>
        <w:t>The 2022-23 Annual target increased to 10,625.</w:t>
      </w:r>
    </w:p>
    <w:p w14:paraId="6AE3462F" w14:textId="1E18C9D0" w:rsidR="005F5C52" w:rsidRDefault="005F5C52" w:rsidP="009D0518">
      <w:pPr>
        <w:pStyle w:val="Tablecaption"/>
      </w:pPr>
      <w:r>
        <w:t>Financial year to date (YTD). Unit of measure: daily average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9D0518" w14:paraId="629E0DF7" w14:textId="77777777" w:rsidTr="00690D4A">
        <w:trPr>
          <w:tblHeader/>
        </w:trPr>
        <w:tc>
          <w:tcPr>
            <w:tcW w:w="2038" w:type="dxa"/>
          </w:tcPr>
          <w:p w14:paraId="5B2D03D3" w14:textId="77777777" w:rsidR="00FE08DE" w:rsidRPr="009D0518" w:rsidRDefault="00FE08DE" w:rsidP="009D0518">
            <w:pPr>
              <w:pStyle w:val="Tablecolhead"/>
            </w:pPr>
            <w:r w:rsidRPr="009D0518">
              <w:t>Division</w:t>
            </w:r>
          </w:p>
        </w:tc>
        <w:tc>
          <w:tcPr>
            <w:tcW w:w="2039" w:type="dxa"/>
          </w:tcPr>
          <w:p w14:paraId="68F889DF" w14:textId="77777777" w:rsidR="00FE08DE" w:rsidRPr="009D0518" w:rsidRDefault="00FE08DE" w:rsidP="009D0518">
            <w:pPr>
              <w:pStyle w:val="Tablecolhead"/>
              <w:jc w:val="right"/>
            </w:pPr>
            <w:r w:rsidRPr="009D0518">
              <w:t>September 2022</w:t>
            </w:r>
          </w:p>
        </w:tc>
        <w:tc>
          <w:tcPr>
            <w:tcW w:w="2039" w:type="dxa"/>
          </w:tcPr>
          <w:p w14:paraId="21CE1026" w14:textId="77777777" w:rsidR="00FE08DE" w:rsidRPr="009D0518" w:rsidRDefault="00FE08DE" w:rsidP="009D0518">
            <w:pPr>
              <w:pStyle w:val="Tablecolhead"/>
              <w:jc w:val="right"/>
            </w:pPr>
            <w:r w:rsidRPr="009D0518">
              <w:t>December 2022</w:t>
            </w:r>
          </w:p>
        </w:tc>
        <w:tc>
          <w:tcPr>
            <w:tcW w:w="2039" w:type="dxa"/>
          </w:tcPr>
          <w:p w14:paraId="794E3700" w14:textId="77777777" w:rsidR="00FE08DE" w:rsidRPr="009D0518" w:rsidRDefault="00FE08DE" w:rsidP="009D0518">
            <w:pPr>
              <w:pStyle w:val="Tablecolhead"/>
              <w:jc w:val="right"/>
            </w:pPr>
            <w:r w:rsidRPr="009D0518">
              <w:t>March 2023</w:t>
            </w:r>
          </w:p>
        </w:tc>
        <w:tc>
          <w:tcPr>
            <w:tcW w:w="2039" w:type="dxa"/>
          </w:tcPr>
          <w:p w14:paraId="48A0F9DA" w14:textId="77777777" w:rsidR="00FE08DE" w:rsidRPr="009D0518" w:rsidRDefault="00FE08DE" w:rsidP="009D0518">
            <w:pPr>
              <w:pStyle w:val="Tablecolhead"/>
              <w:jc w:val="right"/>
            </w:pPr>
            <w:r w:rsidRPr="009D0518">
              <w:t>June 2023</w:t>
            </w:r>
          </w:p>
        </w:tc>
      </w:tr>
      <w:tr w:rsidR="00E83184" w:rsidRPr="00FE08DE" w14:paraId="1EA46C36" w14:textId="77777777" w:rsidTr="00E83184">
        <w:trPr>
          <w:tblHeader/>
        </w:trPr>
        <w:tc>
          <w:tcPr>
            <w:tcW w:w="2038" w:type="dxa"/>
            <w:shd w:val="clear" w:color="auto" w:fill="DAEEF3" w:themeFill="accent5" w:themeFillTint="33"/>
          </w:tcPr>
          <w:p w14:paraId="648A9A8A" w14:textId="77777777" w:rsidR="00E83184" w:rsidRPr="00FE08DE" w:rsidRDefault="00E83184" w:rsidP="00E83184">
            <w:pPr>
              <w:pStyle w:val="Tabletext"/>
            </w:pPr>
            <w:r w:rsidRPr="00FE08DE">
              <w:t>State</w:t>
            </w:r>
          </w:p>
        </w:tc>
        <w:tc>
          <w:tcPr>
            <w:tcW w:w="2039" w:type="dxa"/>
            <w:shd w:val="clear" w:color="auto" w:fill="DAEEF3" w:themeFill="accent5" w:themeFillTint="33"/>
          </w:tcPr>
          <w:p w14:paraId="345789DC" w14:textId="7E8952E8" w:rsidR="00E83184" w:rsidRPr="00FE08DE" w:rsidRDefault="00E83184" w:rsidP="00E83184">
            <w:pPr>
              <w:pStyle w:val="StyleTabletextRight"/>
            </w:pPr>
            <w:r w:rsidRPr="00FE08DE">
              <w:t xml:space="preserve"> 9,384</w:t>
            </w:r>
          </w:p>
        </w:tc>
        <w:tc>
          <w:tcPr>
            <w:tcW w:w="2039" w:type="dxa"/>
            <w:shd w:val="clear" w:color="auto" w:fill="DAEEF3" w:themeFill="accent5" w:themeFillTint="33"/>
          </w:tcPr>
          <w:p w14:paraId="1D507BB7" w14:textId="205D2F89" w:rsidR="00E83184" w:rsidRPr="00FE08DE" w:rsidRDefault="00E83184" w:rsidP="00E83184">
            <w:pPr>
              <w:pStyle w:val="StyleTabletextRight"/>
            </w:pPr>
            <w:r w:rsidRPr="00FE08DE">
              <w:t>9,407</w:t>
            </w:r>
          </w:p>
        </w:tc>
        <w:tc>
          <w:tcPr>
            <w:tcW w:w="2039" w:type="dxa"/>
            <w:shd w:val="clear" w:color="auto" w:fill="DAEEF3" w:themeFill="accent5" w:themeFillTint="33"/>
          </w:tcPr>
          <w:p w14:paraId="33A6D733" w14:textId="77777777" w:rsidR="00E83184" w:rsidRPr="00FE08DE" w:rsidRDefault="00E83184" w:rsidP="00E83184">
            <w:pPr>
              <w:pStyle w:val="StyleTabletextRight"/>
            </w:pPr>
            <w:r w:rsidRPr="00FE08DE">
              <w:t>9,394</w:t>
            </w:r>
          </w:p>
        </w:tc>
        <w:tc>
          <w:tcPr>
            <w:tcW w:w="2039" w:type="dxa"/>
            <w:shd w:val="clear" w:color="auto" w:fill="DAEEF3" w:themeFill="accent5" w:themeFillTint="33"/>
          </w:tcPr>
          <w:p w14:paraId="229A9074" w14:textId="4AE4E3D3" w:rsidR="00E83184" w:rsidRPr="00FE08DE" w:rsidRDefault="00E83184" w:rsidP="00E83184">
            <w:pPr>
              <w:pStyle w:val="Tabletext"/>
              <w:jc w:val="right"/>
            </w:pPr>
            <w:r w:rsidRPr="00571355">
              <w:t xml:space="preserve"> 9,366 </w:t>
            </w:r>
          </w:p>
        </w:tc>
      </w:tr>
      <w:tr w:rsidR="00E83184" w:rsidRPr="00FE08DE" w14:paraId="3EA96245" w14:textId="77777777" w:rsidTr="00690D4A">
        <w:trPr>
          <w:tblHeader/>
        </w:trPr>
        <w:tc>
          <w:tcPr>
            <w:tcW w:w="2038" w:type="dxa"/>
          </w:tcPr>
          <w:p w14:paraId="24D824B1" w14:textId="77777777" w:rsidR="00E83184" w:rsidRPr="00FE08DE" w:rsidRDefault="00E83184" w:rsidP="00E83184">
            <w:pPr>
              <w:pStyle w:val="Tabletext"/>
            </w:pPr>
            <w:r w:rsidRPr="00FE08DE">
              <w:t>North</w:t>
            </w:r>
          </w:p>
        </w:tc>
        <w:tc>
          <w:tcPr>
            <w:tcW w:w="2039" w:type="dxa"/>
          </w:tcPr>
          <w:p w14:paraId="1304624F" w14:textId="753E9719" w:rsidR="00E83184" w:rsidRPr="00FE08DE" w:rsidRDefault="00E83184" w:rsidP="00E83184">
            <w:pPr>
              <w:pStyle w:val="StyleTabletextRight"/>
            </w:pPr>
            <w:r w:rsidRPr="00FE08DE">
              <w:t xml:space="preserve"> 1,796</w:t>
            </w:r>
          </w:p>
        </w:tc>
        <w:tc>
          <w:tcPr>
            <w:tcW w:w="2039" w:type="dxa"/>
          </w:tcPr>
          <w:p w14:paraId="2A3C3988" w14:textId="31F564E0" w:rsidR="00E83184" w:rsidRPr="00FE08DE" w:rsidRDefault="00E83184" w:rsidP="00E83184">
            <w:pPr>
              <w:pStyle w:val="StyleTabletextRight"/>
            </w:pPr>
            <w:r w:rsidRPr="00FE08DE">
              <w:t>1,799</w:t>
            </w:r>
          </w:p>
        </w:tc>
        <w:tc>
          <w:tcPr>
            <w:tcW w:w="2039" w:type="dxa"/>
          </w:tcPr>
          <w:p w14:paraId="6377DF29" w14:textId="77777777" w:rsidR="00E83184" w:rsidRPr="00FE08DE" w:rsidRDefault="00E83184" w:rsidP="00E83184">
            <w:pPr>
              <w:pStyle w:val="StyleTabletextRight"/>
            </w:pPr>
            <w:r w:rsidRPr="00FE08DE">
              <w:t>1,791</w:t>
            </w:r>
          </w:p>
        </w:tc>
        <w:tc>
          <w:tcPr>
            <w:tcW w:w="2039" w:type="dxa"/>
          </w:tcPr>
          <w:p w14:paraId="08B9100C" w14:textId="4A0503B9" w:rsidR="00E83184" w:rsidRPr="00FE08DE" w:rsidRDefault="00E83184" w:rsidP="00E83184">
            <w:pPr>
              <w:pStyle w:val="Tabletext"/>
              <w:jc w:val="right"/>
            </w:pPr>
            <w:r w:rsidRPr="00571355">
              <w:t xml:space="preserve"> 1,778 </w:t>
            </w:r>
          </w:p>
        </w:tc>
      </w:tr>
      <w:tr w:rsidR="00E83184" w:rsidRPr="00FE08DE" w14:paraId="61C95693" w14:textId="77777777" w:rsidTr="00690D4A">
        <w:trPr>
          <w:tblHeader/>
        </w:trPr>
        <w:tc>
          <w:tcPr>
            <w:tcW w:w="2038" w:type="dxa"/>
          </w:tcPr>
          <w:p w14:paraId="032BB69B" w14:textId="77777777" w:rsidR="00E83184" w:rsidRPr="00FE08DE" w:rsidRDefault="00E83184" w:rsidP="00E83184">
            <w:pPr>
              <w:pStyle w:val="Tabletext"/>
            </w:pPr>
            <w:r w:rsidRPr="00FE08DE">
              <w:t>South</w:t>
            </w:r>
          </w:p>
        </w:tc>
        <w:tc>
          <w:tcPr>
            <w:tcW w:w="2039" w:type="dxa"/>
          </w:tcPr>
          <w:p w14:paraId="3F08FB00" w14:textId="7D378DFE" w:rsidR="00E83184" w:rsidRPr="00FE08DE" w:rsidRDefault="00E83184" w:rsidP="00E83184">
            <w:pPr>
              <w:pStyle w:val="StyleTabletextRight"/>
            </w:pPr>
            <w:r w:rsidRPr="00FE08DE">
              <w:t xml:space="preserve"> 3,171</w:t>
            </w:r>
          </w:p>
        </w:tc>
        <w:tc>
          <w:tcPr>
            <w:tcW w:w="2039" w:type="dxa"/>
          </w:tcPr>
          <w:p w14:paraId="56920CA9" w14:textId="2E2BB181" w:rsidR="00E83184" w:rsidRPr="00FE08DE" w:rsidRDefault="00E83184" w:rsidP="00E83184">
            <w:pPr>
              <w:pStyle w:val="StyleTabletextRight"/>
            </w:pPr>
            <w:r w:rsidRPr="00FE08DE">
              <w:t>3,189</w:t>
            </w:r>
          </w:p>
        </w:tc>
        <w:tc>
          <w:tcPr>
            <w:tcW w:w="2039" w:type="dxa"/>
          </w:tcPr>
          <w:p w14:paraId="3BFCA22F" w14:textId="77777777" w:rsidR="00E83184" w:rsidRPr="00FE08DE" w:rsidRDefault="00E83184" w:rsidP="00E83184">
            <w:pPr>
              <w:pStyle w:val="StyleTabletextRight"/>
            </w:pPr>
            <w:r w:rsidRPr="00FE08DE">
              <w:t>3,165</w:t>
            </w:r>
          </w:p>
        </w:tc>
        <w:tc>
          <w:tcPr>
            <w:tcW w:w="2039" w:type="dxa"/>
          </w:tcPr>
          <w:p w14:paraId="65E6C967" w14:textId="3D6CA387" w:rsidR="00E83184" w:rsidRPr="00FE08DE" w:rsidRDefault="00E83184" w:rsidP="00E83184">
            <w:pPr>
              <w:pStyle w:val="Tabletext"/>
              <w:jc w:val="right"/>
            </w:pPr>
            <w:r w:rsidRPr="00571355">
              <w:t xml:space="preserve"> 3,152 </w:t>
            </w:r>
          </w:p>
        </w:tc>
      </w:tr>
      <w:tr w:rsidR="00E83184" w:rsidRPr="00FE08DE" w14:paraId="665A9DE9" w14:textId="77777777" w:rsidTr="00690D4A">
        <w:trPr>
          <w:tblHeader/>
        </w:trPr>
        <w:tc>
          <w:tcPr>
            <w:tcW w:w="2038" w:type="dxa"/>
          </w:tcPr>
          <w:p w14:paraId="040B1D4C" w14:textId="77777777" w:rsidR="00E83184" w:rsidRPr="00FE08DE" w:rsidRDefault="00E83184" w:rsidP="00E83184">
            <w:pPr>
              <w:pStyle w:val="Tabletext"/>
            </w:pPr>
            <w:r w:rsidRPr="00FE08DE">
              <w:t>East</w:t>
            </w:r>
          </w:p>
        </w:tc>
        <w:tc>
          <w:tcPr>
            <w:tcW w:w="2039" w:type="dxa"/>
          </w:tcPr>
          <w:p w14:paraId="396FA28F" w14:textId="574F497A" w:rsidR="00E83184" w:rsidRPr="00FE08DE" w:rsidRDefault="00E83184" w:rsidP="00E83184">
            <w:pPr>
              <w:pStyle w:val="StyleTabletextRight"/>
            </w:pPr>
            <w:r w:rsidRPr="00FE08DE">
              <w:t xml:space="preserve"> 1,537</w:t>
            </w:r>
          </w:p>
        </w:tc>
        <w:tc>
          <w:tcPr>
            <w:tcW w:w="2039" w:type="dxa"/>
          </w:tcPr>
          <w:p w14:paraId="0ABC1966" w14:textId="5D456A51" w:rsidR="00E83184" w:rsidRPr="00FE08DE" w:rsidRDefault="00E83184" w:rsidP="00E83184">
            <w:pPr>
              <w:pStyle w:val="StyleTabletextRight"/>
            </w:pPr>
            <w:r w:rsidRPr="00FE08DE">
              <w:t>1,541</w:t>
            </w:r>
          </w:p>
        </w:tc>
        <w:tc>
          <w:tcPr>
            <w:tcW w:w="2039" w:type="dxa"/>
          </w:tcPr>
          <w:p w14:paraId="6D272289" w14:textId="77777777" w:rsidR="00E83184" w:rsidRPr="00FE08DE" w:rsidRDefault="00E83184" w:rsidP="00E83184">
            <w:pPr>
              <w:pStyle w:val="StyleTabletextRight"/>
            </w:pPr>
            <w:r w:rsidRPr="00FE08DE">
              <w:t>1,542</w:t>
            </w:r>
          </w:p>
        </w:tc>
        <w:tc>
          <w:tcPr>
            <w:tcW w:w="2039" w:type="dxa"/>
          </w:tcPr>
          <w:p w14:paraId="1164E2B9" w14:textId="0BCA4B49" w:rsidR="00E83184" w:rsidRPr="00FE08DE" w:rsidRDefault="00E83184" w:rsidP="00E83184">
            <w:pPr>
              <w:pStyle w:val="Tabletext"/>
              <w:jc w:val="right"/>
            </w:pPr>
            <w:r w:rsidRPr="00571355">
              <w:t xml:space="preserve"> 1,542 </w:t>
            </w:r>
          </w:p>
        </w:tc>
      </w:tr>
      <w:tr w:rsidR="00E83184" w:rsidRPr="00FE08DE" w14:paraId="0CB0E300" w14:textId="77777777" w:rsidTr="00690D4A">
        <w:trPr>
          <w:tblHeader/>
        </w:trPr>
        <w:tc>
          <w:tcPr>
            <w:tcW w:w="2038" w:type="dxa"/>
          </w:tcPr>
          <w:p w14:paraId="3D68D128" w14:textId="77777777" w:rsidR="00E83184" w:rsidRPr="00FE08DE" w:rsidRDefault="00E83184" w:rsidP="00E83184">
            <w:pPr>
              <w:pStyle w:val="Tabletext"/>
            </w:pPr>
            <w:r w:rsidRPr="00FE08DE">
              <w:t>West</w:t>
            </w:r>
          </w:p>
        </w:tc>
        <w:tc>
          <w:tcPr>
            <w:tcW w:w="2039" w:type="dxa"/>
          </w:tcPr>
          <w:p w14:paraId="792CB961" w14:textId="17C29F12" w:rsidR="00E83184" w:rsidRPr="00FE08DE" w:rsidRDefault="00E83184" w:rsidP="00E83184">
            <w:pPr>
              <w:pStyle w:val="StyleTabletextRight"/>
            </w:pPr>
            <w:r w:rsidRPr="00FE08DE">
              <w:t xml:space="preserve"> 2,879</w:t>
            </w:r>
          </w:p>
        </w:tc>
        <w:tc>
          <w:tcPr>
            <w:tcW w:w="2039" w:type="dxa"/>
          </w:tcPr>
          <w:p w14:paraId="43D0B3E0" w14:textId="4B0C9811" w:rsidR="00E83184" w:rsidRPr="00FE08DE" w:rsidRDefault="00E83184" w:rsidP="00E83184">
            <w:pPr>
              <w:pStyle w:val="StyleTabletextRight"/>
            </w:pPr>
            <w:r w:rsidRPr="00FE08DE">
              <w:t>2,878</w:t>
            </w:r>
          </w:p>
        </w:tc>
        <w:tc>
          <w:tcPr>
            <w:tcW w:w="2039" w:type="dxa"/>
          </w:tcPr>
          <w:p w14:paraId="3891791C" w14:textId="77777777" w:rsidR="00E83184" w:rsidRPr="00FE08DE" w:rsidRDefault="00E83184" w:rsidP="00E83184">
            <w:pPr>
              <w:pStyle w:val="StyleTabletextRight"/>
            </w:pPr>
            <w:r w:rsidRPr="00FE08DE">
              <w:t>2,896</w:t>
            </w:r>
          </w:p>
        </w:tc>
        <w:tc>
          <w:tcPr>
            <w:tcW w:w="2039" w:type="dxa"/>
          </w:tcPr>
          <w:p w14:paraId="3FDFEDC1" w14:textId="6AB6EFCE" w:rsidR="00E83184" w:rsidRPr="00FE08DE" w:rsidRDefault="00E83184" w:rsidP="00E83184">
            <w:pPr>
              <w:pStyle w:val="Tabletext"/>
              <w:jc w:val="right"/>
            </w:pPr>
            <w:r w:rsidRPr="00571355">
              <w:t xml:space="preserve"> 2,894 </w:t>
            </w:r>
          </w:p>
        </w:tc>
      </w:tr>
    </w:tbl>
    <w:p w14:paraId="3157414E" w14:textId="77777777" w:rsidR="005F5C52" w:rsidRPr="00536ADD" w:rsidRDefault="005F5C52" w:rsidP="00536ADD">
      <w:pPr>
        <w:pStyle w:val="Heading1"/>
      </w:pPr>
      <w:bookmarkStart w:id="14" w:name="_Toc141344186"/>
      <w:r w:rsidRPr="00536ADD">
        <w:lastRenderedPageBreak/>
        <w:t>Daily average number of children subject to permanent care order</w:t>
      </w:r>
      <w:bookmarkEnd w:id="14"/>
    </w:p>
    <w:p w14:paraId="3C6F2F40" w14:textId="77777777" w:rsidR="005F5C52" w:rsidRDefault="005F5C52" w:rsidP="005F5C52">
      <w:pPr>
        <w:pStyle w:val="Body"/>
      </w:pPr>
      <w:r>
        <w:t>The 2022-23 Annual target increased to 3,555.</w:t>
      </w:r>
    </w:p>
    <w:p w14:paraId="46E56E53" w14:textId="77777777" w:rsidR="00690D4A" w:rsidRPr="00690D4A" w:rsidRDefault="00690D4A" w:rsidP="00690D4A">
      <w:pPr>
        <w:pStyle w:val="Tablecaption"/>
      </w:pPr>
      <w:r w:rsidRPr="00690D4A">
        <w:t>Financial year to date (YTD). Unit of measure: daily average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06E82954" w14:textId="77777777" w:rsidTr="004814ED">
        <w:trPr>
          <w:tblHeader/>
        </w:trPr>
        <w:tc>
          <w:tcPr>
            <w:tcW w:w="2038" w:type="dxa"/>
          </w:tcPr>
          <w:p w14:paraId="74C56026" w14:textId="77777777" w:rsidR="00FE08DE" w:rsidRPr="00690D4A" w:rsidRDefault="00FE08DE" w:rsidP="00690D4A">
            <w:pPr>
              <w:pStyle w:val="Tablecolhead"/>
            </w:pPr>
            <w:r w:rsidRPr="00690D4A">
              <w:t>Division</w:t>
            </w:r>
          </w:p>
        </w:tc>
        <w:tc>
          <w:tcPr>
            <w:tcW w:w="2039" w:type="dxa"/>
          </w:tcPr>
          <w:p w14:paraId="53068C3D" w14:textId="77777777" w:rsidR="00FE08DE" w:rsidRPr="00690D4A" w:rsidRDefault="00FE08DE" w:rsidP="00690D4A">
            <w:pPr>
              <w:pStyle w:val="Tablecolhead"/>
              <w:jc w:val="right"/>
            </w:pPr>
            <w:r w:rsidRPr="00690D4A">
              <w:t>September 2022</w:t>
            </w:r>
          </w:p>
        </w:tc>
        <w:tc>
          <w:tcPr>
            <w:tcW w:w="2039" w:type="dxa"/>
          </w:tcPr>
          <w:p w14:paraId="3D3ED282" w14:textId="77777777" w:rsidR="00FE08DE" w:rsidRPr="00690D4A" w:rsidRDefault="00FE08DE" w:rsidP="00690D4A">
            <w:pPr>
              <w:pStyle w:val="Tablecolhead"/>
              <w:jc w:val="right"/>
            </w:pPr>
            <w:r w:rsidRPr="00690D4A">
              <w:t>December 2022</w:t>
            </w:r>
          </w:p>
        </w:tc>
        <w:tc>
          <w:tcPr>
            <w:tcW w:w="2039" w:type="dxa"/>
          </w:tcPr>
          <w:p w14:paraId="2E1E909B" w14:textId="77777777" w:rsidR="00FE08DE" w:rsidRPr="00690D4A" w:rsidRDefault="00FE08DE" w:rsidP="00690D4A">
            <w:pPr>
              <w:pStyle w:val="Tablecolhead"/>
              <w:jc w:val="right"/>
            </w:pPr>
            <w:r w:rsidRPr="00690D4A">
              <w:t>March 2023</w:t>
            </w:r>
          </w:p>
        </w:tc>
        <w:tc>
          <w:tcPr>
            <w:tcW w:w="2039" w:type="dxa"/>
          </w:tcPr>
          <w:p w14:paraId="659E59CE" w14:textId="77777777" w:rsidR="00FE08DE" w:rsidRPr="00690D4A" w:rsidRDefault="00FE08DE" w:rsidP="00690D4A">
            <w:pPr>
              <w:pStyle w:val="Tablecolhead"/>
              <w:jc w:val="right"/>
            </w:pPr>
            <w:r w:rsidRPr="00690D4A">
              <w:t>June 2023</w:t>
            </w:r>
          </w:p>
        </w:tc>
      </w:tr>
      <w:tr w:rsidR="00ED4D45" w:rsidRPr="00690D4A" w14:paraId="4362E736" w14:textId="77777777" w:rsidTr="00ED4D45">
        <w:trPr>
          <w:tblHeader/>
        </w:trPr>
        <w:tc>
          <w:tcPr>
            <w:tcW w:w="2038" w:type="dxa"/>
            <w:shd w:val="clear" w:color="auto" w:fill="DAEEF3" w:themeFill="accent5" w:themeFillTint="33"/>
          </w:tcPr>
          <w:p w14:paraId="138627CD" w14:textId="77777777" w:rsidR="00ED4D45" w:rsidRPr="00690D4A" w:rsidRDefault="00ED4D45" w:rsidP="00ED4D45">
            <w:pPr>
              <w:pStyle w:val="Tabletext"/>
            </w:pPr>
            <w:r w:rsidRPr="00690D4A">
              <w:t>State</w:t>
            </w:r>
          </w:p>
        </w:tc>
        <w:tc>
          <w:tcPr>
            <w:tcW w:w="2039" w:type="dxa"/>
            <w:shd w:val="clear" w:color="auto" w:fill="DAEEF3" w:themeFill="accent5" w:themeFillTint="33"/>
          </w:tcPr>
          <w:p w14:paraId="1CB1A45D" w14:textId="3D329A92" w:rsidR="00ED4D45" w:rsidRPr="00690D4A" w:rsidRDefault="00ED4D45" w:rsidP="00ED4D45">
            <w:pPr>
              <w:pStyle w:val="StyleTabletextRight"/>
            </w:pPr>
            <w:r w:rsidRPr="00690D4A">
              <w:t xml:space="preserve"> 3,569</w:t>
            </w:r>
          </w:p>
        </w:tc>
        <w:tc>
          <w:tcPr>
            <w:tcW w:w="2039" w:type="dxa"/>
            <w:shd w:val="clear" w:color="auto" w:fill="DAEEF3" w:themeFill="accent5" w:themeFillTint="33"/>
          </w:tcPr>
          <w:p w14:paraId="65FB42CC" w14:textId="199B2904" w:rsidR="00ED4D45" w:rsidRPr="00690D4A" w:rsidRDefault="00ED4D45" w:rsidP="00ED4D45">
            <w:pPr>
              <w:pStyle w:val="StyleTabletextRight"/>
            </w:pPr>
            <w:r w:rsidRPr="00690D4A">
              <w:t>3,567</w:t>
            </w:r>
          </w:p>
        </w:tc>
        <w:tc>
          <w:tcPr>
            <w:tcW w:w="2039" w:type="dxa"/>
            <w:shd w:val="clear" w:color="auto" w:fill="DAEEF3" w:themeFill="accent5" w:themeFillTint="33"/>
          </w:tcPr>
          <w:p w14:paraId="733E8318" w14:textId="77777777" w:rsidR="00ED4D45" w:rsidRPr="00690D4A" w:rsidRDefault="00ED4D45" w:rsidP="00ED4D45">
            <w:pPr>
              <w:pStyle w:val="StyleTabletextRight"/>
            </w:pPr>
            <w:r w:rsidRPr="00690D4A">
              <w:t>3,557</w:t>
            </w:r>
          </w:p>
        </w:tc>
        <w:tc>
          <w:tcPr>
            <w:tcW w:w="2039" w:type="dxa"/>
            <w:shd w:val="clear" w:color="auto" w:fill="DAEEF3" w:themeFill="accent5" w:themeFillTint="33"/>
          </w:tcPr>
          <w:p w14:paraId="40381AA4" w14:textId="0F383E25" w:rsidR="00ED4D45" w:rsidRPr="00690D4A" w:rsidRDefault="00ED4D45" w:rsidP="00ED4D45">
            <w:pPr>
              <w:pStyle w:val="Tabletext"/>
              <w:jc w:val="right"/>
            </w:pPr>
            <w:r w:rsidRPr="006A1F78">
              <w:t xml:space="preserve"> 3,557 </w:t>
            </w:r>
          </w:p>
        </w:tc>
      </w:tr>
      <w:tr w:rsidR="00ED4D45" w:rsidRPr="00690D4A" w14:paraId="6D06D9C2" w14:textId="77777777" w:rsidTr="004814ED">
        <w:trPr>
          <w:tblHeader/>
        </w:trPr>
        <w:tc>
          <w:tcPr>
            <w:tcW w:w="2038" w:type="dxa"/>
          </w:tcPr>
          <w:p w14:paraId="444CD018" w14:textId="77777777" w:rsidR="00ED4D45" w:rsidRPr="00690D4A" w:rsidRDefault="00ED4D45" w:rsidP="00ED4D45">
            <w:pPr>
              <w:pStyle w:val="Tabletext"/>
            </w:pPr>
            <w:r w:rsidRPr="00690D4A">
              <w:t>North</w:t>
            </w:r>
          </w:p>
        </w:tc>
        <w:tc>
          <w:tcPr>
            <w:tcW w:w="2039" w:type="dxa"/>
          </w:tcPr>
          <w:p w14:paraId="51D7FB84" w14:textId="59609713" w:rsidR="00ED4D45" w:rsidRPr="00690D4A" w:rsidRDefault="00ED4D45" w:rsidP="00ED4D45">
            <w:pPr>
              <w:pStyle w:val="StyleTabletextRight"/>
            </w:pPr>
            <w:r w:rsidRPr="00690D4A">
              <w:t xml:space="preserve"> 909</w:t>
            </w:r>
          </w:p>
        </w:tc>
        <w:tc>
          <w:tcPr>
            <w:tcW w:w="2039" w:type="dxa"/>
          </w:tcPr>
          <w:p w14:paraId="65D8C5C7" w14:textId="70812F87" w:rsidR="00ED4D45" w:rsidRPr="00690D4A" w:rsidRDefault="00ED4D45" w:rsidP="00ED4D45">
            <w:pPr>
              <w:pStyle w:val="StyleTabletextRight"/>
            </w:pPr>
            <w:r w:rsidRPr="00690D4A">
              <w:t>902</w:t>
            </w:r>
          </w:p>
        </w:tc>
        <w:tc>
          <w:tcPr>
            <w:tcW w:w="2039" w:type="dxa"/>
          </w:tcPr>
          <w:p w14:paraId="4828406E" w14:textId="77777777" w:rsidR="00ED4D45" w:rsidRPr="00690D4A" w:rsidRDefault="00ED4D45" w:rsidP="00ED4D45">
            <w:pPr>
              <w:pStyle w:val="StyleTabletextRight"/>
            </w:pPr>
            <w:r w:rsidRPr="00690D4A">
              <w:t>894</w:t>
            </w:r>
          </w:p>
        </w:tc>
        <w:tc>
          <w:tcPr>
            <w:tcW w:w="2039" w:type="dxa"/>
          </w:tcPr>
          <w:p w14:paraId="4B3C8D55" w14:textId="7BB4D82C" w:rsidR="00ED4D45" w:rsidRPr="00690D4A" w:rsidRDefault="00ED4D45" w:rsidP="00ED4D45">
            <w:pPr>
              <w:pStyle w:val="Tabletext"/>
              <w:jc w:val="right"/>
            </w:pPr>
            <w:r w:rsidRPr="006A1F78">
              <w:t xml:space="preserve"> 892 </w:t>
            </w:r>
          </w:p>
        </w:tc>
      </w:tr>
      <w:tr w:rsidR="00ED4D45" w:rsidRPr="00690D4A" w14:paraId="51B765E9" w14:textId="77777777" w:rsidTr="004814ED">
        <w:trPr>
          <w:tblHeader/>
        </w:trPr>
        <w:tc>
          <w:tcPr>
            <w:tcW w:w="2038" w:type="dxa"/>
          </w:tcPr>
          <w:p w14:paraId="3ADCC630" w14:textId="77777777" w:rsidR="00ED4D45" w:rsidRPr="00690D4A" w:rsidRDefault="00ED4D45" w:rsidP="00ED4D45">
            <w:pPr>
              <w:pStyle w:val="Tabletext"/>
            </w:pPr>
            <w:r w:rsidRPr="00690D4A">
              <w:t>South</w:t>
            </w:r>
          </w:p>
        </w:tc>
        <w:tc>
          <w:tcPr>
            <w:tcW w:w="2039" w:type="dxa"/>
          </w:tcPr>
          <w:p w14:paraId="42ABE9B1" w14:textId="69908B0B" w:rsidR="00ED4D45" w:rsidRPr="00690D4A" w:rsidRDefault="00ED4D45" w:rsidP="00ED4D45">
            <w:pPr>
              <w:pStyle w:val="StyleTabletextRight"/>
            </w:pPr>
            <w:r w:rsidRPr="00690D4A">
              <w:t xml:space="preserve"> 911</w:t>
            </w:r>
          </w:p>
        </w:tc>
        <w:tc>
          <w:tcPr>
            <w:tcW w:w="2039" w:type="dxa"/>
          </w:tcPr>
          <w:p w14:paraId="5831055D" w14:textId="27094D46" w:rsidR="00ED4D45" w:rsidRPr="00690D4A" w:rsidRDefault="00ED4D45" w:rsidP="00ED4D45">
            <w:pPr>
              <w:pStyle w:val="StyleTabletextRight"/>
            </w:pPr>
            <w:r w:rsidRPr="00690D4A">
              <w:t>916</w:t>
            </w:r>
          </w:p>
        </w:tc>
        <w:tc>
          <w:tcPr>
            <w:tcW w:w="2039" w:type="dxa"/>
          </w:tcPr>
          <w:p w14:paraId="6BA7A75C" w14:textId="77777777" w:rsidR="00ED4D45" w:rsidRPr="00690D4A" w:rsidRDefault="00ED4D45" w:rsidP="00ED4D45">
            <w:pPr>
              <w:pStyle w:val="StyleTabletextRight"/>
            </w:pPr>
            <w:r w:rsidRPr="00690D4A">
              <w:t>918</w:t>
            </w:r>
          </w:p>
        </w:tc>
        <w:tc>
          <w:tcPr>
            <w:tcW w:w="2039" w:type="dxa"/>
          </w:tcPr>
          <w:p w14:paraId="19CC67D0" w14:textId="63D5FBCE" w:rsidR="00ED4D45" w:rsidRPr="00690D4A" w:rsidRDefault="00ED4D45" w:rsidP="00ED4D45">
            <w:pPr>
              <w:pStyle w:val="Tabletext"/>
              <w:jc w:val="right"/>
            </w:pPr>
            <w:r w:rsidRPr="006A1F78">
              <w:t xml:space="preserve"> 919 </w:t>
            </w:r>
          </w:p>
        </w:tc>
      </w:tr>
      <w:tr w:rsidR="00ED4D45" w:rsidRPr="00690D4A" w14:paraId="5C3A9CD4" w14:textId="77777777" w:rsidTr="004814ED">
        <w:trPr>
          <w:tblHeader/>
        </w:trPr>
        <w:tc>
          <w:tcPr>
            <w:tcW w:w="2038" w:type="dxa"/>
          </w:tcPr>
          <w:p w14:paraId="03CD8333" w14:textId="77777777" w:rsidR="00ED4D45" w:rsidRPr="00690D4A" w:rsidRDefault="00ED4D45" w:rsidP="00ED4D45">
            <w:pPr>
              <w:pStyle w:val="Tabletext"/>
            </w:pPr>
            <w:r w:rsidRPr="00690D4A">
              <w:t>East</w:t>
            </w:r>
          </w:p>
        </w:tc>
        <w:tc>
          <w:tcPr>
            <w:tcW w:w="2039" w:type="dxa"/>
          </w:tcPr>
          <w:p w14:paraId="7E2EF00C" w14:textId="69330859" w:rsidR="00ED4D45" w:rsidRPr="00690D4A" w:rsidRDefault="00ED4D45" w:rsidP="00ED4D45">
            <w:pPr>
              <w:pStyle w:val="StyleTabletextRight"/>
            </w:pPr>
            <w:r w:rsidRPr="00690D4A">
              <w:t xml:space="preserve"> 565</w:t>
            </w:r>
          </w:p>
        </w:tc>
        <w:tc>
          <w:tcPr>
            <w:tcW w:w="2039" w:type="dxa"/>
          </w:tcPr>
          <w:p w14:paraId="69BC0939" w14:textId="2AE63A64" w:rsidR="00ED4D45" w:rsidRPr="00690D4A" w:rsidRDefault="00ED4D45" w:rsidP="00ED4D45">
            <w:pPr>
              <w:pStyle w:val="StyleTabletextRight"/>
            </w:pPr>
            <w:r w:rsidRPr="00690D4A">
              <w:t>566</w:t>
            </w:r>
          </w:p>
        </w:tc>
        <w:tc>
          <w:tcPr>
            <w:tcW w:w="2039" w:type="dxa"/>
          </w:tcPr>
          <w:p w14:paraId="6DBABC20" w14:textId="77777777" w:rsidR="00ED4D45" w:rsidRPr="00690D4A" w:rsidRDefault="00ED4D45" w:rsidP="00ED4D45">
            <w:pPr>
              <w:pStyle w:val="StyleTabletextRight"/>
            </w:pPr>
            <w:r w:rsidRPr="00690D4A">
              <w:t>561</w:t>
            </w:r>
          </w:p>
        </w:tc>
        <w:tc>
          <w:tcPr>
            <w:tcW w:w="2039" w:type="dxa"/>
          </w:tcPr>
          <w:p w14:paraId="2FD01176" w14:textId="2329F65D" w:rsidR="00ED4D45" w:rsidRPr="00690D4A" w:rsidRDefault="00ED4D45" w:rsidP="00ED4D45">
            <w:pPr>
              <w:pStyle w:val="Tabletext"/>
              <w:jc w:val="right"/>
            </w:pPr>
            <w:r w:rsidRPr="006A1F78">
              <w:t xml:space="preserve"> 562 </w:t>
            </w:r>
          </w:p>
        </w:tc>
      </w:tr>
      <w:tr w:rsidR="00ED4D45" w:rsidRPr="00690D4A" w14:paraId="65548396" w14:textId="77777777" w:rsidTr="004814ED">
        <w:trPr>
          <w:tblHeader/>
        </w:trPr>
        <w:tc>
          <w:tcPr>
            <w:tcW w:w="2038" w:type="dxa"/>
          </w:tcPr>
          <w:p w14:paraId="4F9F5D5C" w14:textId="77777777" w:rsidR="00ED4D45" w:rsidRPr="00690D4A" w:rsidRDefault="00ED4D45" w:rsidP="00ED4D45">
            <w:pPr>
              <w:pStyle w:val="Tabletext"/>
            </w:pPr>
            <w:r w:rsidRPr="00690D4A">
              <w:t>West</w:t>
            </w:r>
          </w:p>
        </w:tc>
        <w:tc>
          <w:tcPr>
            <w:tcW w:w="2039" w:type="dxa"/>
          </w:tcPr>
          <w:p w14:paraId="2FCD854A" w14:textId="65D438FD" w:rsidR="00ED4D45" w:rsidRPr="00690D4A" w:rsidRDefault="00ED4D45" w:rsidP="00ED4D45">
            <w:pPr>
              <w:pStyle w:val="StyleTabletextRight"/>
            </w:pPr>
            <w:r w:rsidRPr="00690D4A">
              <w:t xml:space="preserve"> 1,184</w:t>
            </w:r>
          </w:p>
        </w:tc>
        <w:tc>
          <w:tcPr>
            <w:tcW w:w="2039" w:type="dxa"/>
          </w:tcPr>
          <w:p w14:paraId="7A7F2CD0" w14:textId="5D5ADE80" w:rsidR="00ED4D45" w:rsidRPr="00690D4A" w:rsidRDefault="00ED4D45" w:rsidP="00ED4D45">
            <w:pPr>
              <w:pStyle w:val="StyleTabletextRight"/>
            </w:pPr>
            <w:r w:rsidRPr="00690D4A">
              <w:t>1,183</w:t>
            </w:r>
          </w:p>
        </w:tc>
        <w:tc>
          <w:tcPr>
            <w:tcW w:w="2039" w:type="dxa"/>
          </w:tcPr>
          <w:p w14:paraId="7BE72BF5" w14:textId="77777777" w:rsidR="00ED4D45" w:rsidRPr="00690D4A" w:rsidRDefault="00ED4D45" w:rsidP="00ED4D45">
            <w:pPr>
              <w:pStyle w:val="StyleTabletextRight"/>
            </w:pPr>
            <w:r w:rsidRPr="00690D4A">
              <w:t>1,183</w:t>
            </w:r>
          </w:p>
        </w:tc>
        <w:tc>
          <w:tcPr>
            <w:tcW w:w="2039" w:type="dxa"/>
          </w:tcPr>
          <w:p w14:paraId="6E8E54B5" w14:textId="1BDD102D" w:rsidR="00ED4D45" w:rsidRPr="00690D4A" w:rsidRDefault="00ED4D45" w:rsidP="00ED4D45">
            <w:pPr>
              <w:pStyle w:val="Tabletext"/>
              <w:jc w:val="right"/>
            </w:pPr>
            <w:r w:rsidRPr="006A1F78">
              <w:t xml:space="preserve"> 1,184 </w:t>
            </w:r>
          </w:p>
        </w:tc>
      </w:tr>
    </w:tbl>
    <w:p w14:paraId="17C5A0F7" w14:textId="36BB6510" w:rsidR="005F5C52" w:rsidRPr="00536ADD" w:rsidRDefault="005F5C52" w:rsidP="00536ADD">
      <w:pPr>
        <w:pStyle w:val="Heading1"/>
      </w:pPr>
      <w:bookmarkStart w:id="15" w:name="_Toc141344187"/>
      <w:r w:rsidRPr="00536ADD">
        <w:t>Daily average number of children in foster care placements</w:t>
      </w:r>
      <w:bookmarkEnd w:id="15"/>
      <w:r w:rsidRPr="00536ADD">
        <w:t xml:space="preserve"> </w:t>
      </w:r>
    </w:p>
    <w:p w14:paraId="51929BA7" w14:textId="77777777" w:rsidR="005F5C52" w:rsidRDefault="005F5C52" w:rsidP="005F5C52">
      <w:pPr>
        <w:pStyle w:val="Body"/>
      </w:pPr>
      <w:r>
        <w:t>The 2022-23 Annual target increased to 1,773.</w:t>
      </w:r>
    </w:p>
    <w:p w14:paraId="22A147AC" w14:textId="4851BA2D" w:rsidR="00690D4A" w:rsidRDefault="00690D4A" w:rsidP="00690D4A">
      <w:pPr>
        <w:pStyle w:val="Tablecaption"/>
      </w:pPr>
      <w:r w:rsidRPr="00690D4A">
        <w:t>Financial year to date (YTD). Unit of measure: daily average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5DDD3B0B" w14:textId="77777777" w:rsidTr="00690D4A">
        <w:trPr>
          <w:tblHeader/>
        </w:trPr>
        <w:tc>
          <w:tcPr>
            <w:tcW w:w="2038" w:type="dxa"/>
          </w:tcPr>
          <w:p w14:paraId="77D76C53" w14:textId="77777777" w:rsidR="00FE08DE" w:rsidRPr="00690D4A" w:rsidRDefault="00FE08DE" w:rsidP="00690D4A">
            <w:pPr>
              <w:pStyle w:val="Tablecolhead"/>
            </w:pPr>
            <w:r w:rsidRPr="00690D4A">
              <w:t>Division</w:t>
            </w:r>
          </w:p>
        </w:tc>
        <w:tc>
          <w:tcPr>
            <w:tcW w:w="2039" w:type="dxa"/>
          </w:tcPr>
          <w:p w14:paraId="1E639847" w14:textId="77777777" w:rsidR="00FE08DE" w:rsidRPr="00690D4A" w:rsidRDefault="00FE08DE" w:rsidP="00690D4A">
            <w:pPr>
              <w:pStyle w:val="Tablecolhead"/>
              <w:jc w:val="right"/>
            </w:pPr>
            <w:r w:rsidRPr="00690D4A">
              <w:t>September 2022</w:t>
            </w:r>
          </w:p>
        </w:tc>
        <w:tc>
          <w:tcPr>
            <w:tcW w:w="2039" w:type="dxa"/>
          </w:tcPr>
          <w:p w14:paraId="6DD59376" w14:textId="77777777" w:rsidR="00FE08DE" w:rsidRPr="00690D4A" w:rsidRDefault="00FE08DE" w:rsidP="00690D4A">
            <w:pPr>
              <w:pStyle w:val="Tablecolhead"/>
              <w:jc w:val="right"/>
            </w:pPr>
            <w:r w:rsidRPr="00690D4A">
              <w:t>December 2022</w:t>
            </w:r>
          </w:p>
        </w:tc>
        <w:tc>
          <w:tcPr>
            <w:tcW w:w="2039" w:type="dxa"/>
          </w:tcPr>
          <w:p w14:paraId="3587147F" w14:textId="77777777" w:rsidR="00FE08DE" w:rsidRPr="00690D4A" w:rsidRDefault="00FE08DE" w:rsidP="00690D4A">
            <w:pPr>
              <w:pStyle w:val="Tablecolhead"/>
              <w:jc w:val="right"/>
            </w:pPr>
            <w:r w:rsidRPr="00690D4A">
              <w:t>March 2023</w:t>
            </w:r>
          </w:p>
        </w:tc>
        <w:tc>
          <w:tcPr>
            <w:tcW w:w="2039" w:type="dxa"/>
          </w:tcPr>
          <w:p w14:paraId="1A2A2514" w14:textId="77777777" w:rsidR="00FE08DE" w:rsidRPr="00690D4A" w:rsidRDefault="00FE08DE" w:rsidP="00690D4A">
            <w:pPr>
              <w:pStyle w:val="Tablecolhead"/>
              <w:jc w:val="right"/>
            </w:pPr>
            <w:r w:rsidRPr="00690D4A">
              <w:t>June 2023</w:t>
            </w:r>
          </w:p>
        </w:tc>
      </w:tr>
      <w:tr w:rsidR="00ED4D45" w:rsidRPr="00FE08DE" w14:paraId="036155EA" w14:textId="77777777" w:rsidTr="00ED4D45">
        <w:trPr>
          <w:tblHeader/>
        </w:trPr>
        <w:tc>
          <w:tcPr>
            <w:tcW w:w="2038" w:type="dxa"/>
            <w:shd w:val="clear" w:color="auto" w:fill="DAEEF3" w:themeFill="accent5" w:themeFillTint="33"/>
          </w:tcPr>
          <w:p w14:paraId="0B2EF97A" w14:textId="77777777" w:rsidR="00ED4D45" w:rsidRPr="00FE08DE" w:rsidRDefault="00ED4D45" w:rsidP="00ED4D45">
            <w:pPr>
              <w:pStyle w:val="Tabletext"/>
            </w:pPr>
            <w:r w:rsidRPr="00FE08DE">
              <w:t>State</w:t>
            </w:r>
          </w:p>
        </w:tc>
        <w:tc>
          <w:tcPr>
            <w:tcW w:w="2039" w:type="dxa"/>
            <w:shd w:val="clear" w:color="auto" w:fill="DAEEF3" w:themeFill="accent5" w:themeFillTint="33"/>
          </w:tcPr>
          <w:p w14:paraId="2425870D" w14:textId="77777777" w:rsidR="00ED4D45" w:rsidRPr="00FE08DE" w:rsidRDefault="00ED4D45" w:rsidP="00ED4D45">
            <w:pPr>
              <w:pStyle w:val="StyleTabletextRight"/>
            </w:pPr>
            <w:r w:rsidRPr="00FE08DE">
              <w:t xml:space="preserve"> 1,542 </w:t>
            </w:r>
          </w:p>
        </w:tc>
        <w:tc>
          <w:tcPr>
            <w:tcW w:w="2039" w:type="dxa"/>
            <w:shd w:val="clear" w:color="auto" w:fill="DAEEF3" w:themeFill="accent5" w:themeFillTint="33"/>
          </w:tcPr>
          <w:p w14:paraId="4EBACD5F" w14:textId="5C211136" w:rsidR="00ED4D45" w:rsidRPr="00FE08DE" w:rsidRDefault="00ED4D45" w:rsidP="00ED4D45">
            <w:pPr>
              <w:pStyle w:val="StyleTabletextRight"/>
            </w:pPr>
            <w:r w:rsidRPr="00FE08DE">
              <w:t xml:space="preserve">1,538 </w:t>
            </w:r>
          </w:p>
        </w:tc>
        <w:tc>
          <w:tcPr>
            <w:tcW w:w="2039" w:type="dxa"/>
            <w:shd w:val="clear" w:color="auto" w:fill="DAEEF3" w:themeFill="accent5" w:themeFillTint="33"/>
          </w:tcPr>
          <w:p w14:paraId="6F659292" w14:textId="77777777" w:rsidR="00ED4D45" w:rsidRPr="00FE08DE" w:rsidRDefault="00ED4D45" w:rsidP="00ED4D45">
            <w:pPr>
              <w:pStyle w:val="StyleTabletextRight"/>
            </w:pPr>
            <w:r w:rsidRPr="00FE08DE">
              <w:t>1,526</w:t>
            </w:r>
          </w:p>
        </w:tc>
        <w:tc>
          <w:tcPr>
            <w:tcW w:w="2039" w:type="dxa"/>
            <w:shd w:val="clear" w:color="auto" w:fill="DAEEF3" w:themeFill="accent5" w:themeFillTint="33"/>
          </w:tcPr>
          <w:p w14:paraId="26B4DBCF" w14:textId="5D012685" w:rsidR="00ED4D45" w:rsidRPr="00FE08DE" w:rsidRDefault="00ED4D45" w:rsidP="00ED4D45">
            <w:pPr>
              <w:pStyle w:val="Tabletext"/>
              <w:jc w:val="right"/>
            </w:pPr>
            <w:r w:rsidRPr="00ED1736">
              <w:t>1,512</w:t>
            </w:r>
          </w:p>
        </w:tc>
      </w:tr>
      <w:tr w:rsidR="00ED4D45" w:rsidRPr="00FE08DE" w14:paraId="004951DA" w14:textId="77777777" w:rsidTr="00690D4A">
        <w:trPr>
          <w:tblHeader/>
        </w:trPr>
        <w:tc>
          <w:tcPr>
            <w:tcW w:w="2038" w:type="dxa"/>
          </w:tcPr>
          <w:p w14:paraId="4829B0F3" w14:textId="77777777" w:rsidR="00ED4D45" w:rsidRPr="00FE08DE" w:rsidRDefault="00ED4D45" w:rsidP="00ED4D45">
            <w:pPr>
              <w:pStyle w:val="Tabletext"/>
            </w:pPr>
            <w:r w:rsidRPr="00FE08DE">
              <w:t>North</w:t>
            </w:r>
          </w:p>
        </w:tc>
        <w:tc>
          <w:tcPr>
            <w:tcW w:w="2039" w:type="dxa"/>
          </w:tcPr>
          <w:p w14:paraId="027623F0" w14:textId="77777777" w:rsidR="00ED4D45" w:rsidRPr="00FE08DE" w:rsidRDefault="00ED4D45" w:rsidP="00ED4D45">
            <w:pPr>
              <w:pStyle w:val="StyleTabletextRight"/>
            </w:pPr>
            <w:r w:rsidRPr="00FE08DE">
              <w:t xml:space="preserve"> 217 </w:t>
            </w:r>
          </w:p>
        </w:tc>
        <w:tc>
          <w:tcPr>
            <w:tcW w:w="2039" w:type="dxa"/>
          </w:tcPr>
          <w:p w14:paraId="094D5082" w14:textId="7B9E39CD" w:rsidR="00ED4D45" w:rsidRPr="00FE08DE" w:rsidRDefault="00ED4D45" w:rsidP="00ED4D45">
            <w:pPr>
              <w:pStyle w:val="StyleTabletextRight"/>
            </w:pPr>
            <w:r w:rsidRPr="00FE08DE">
              <w:t xml:space="preserve">217 </w:t>
            </w:r>
          </w:p>
        </w:tc>
        <w:tc>
          <w:tcPr>
            <w:tcW w:w="2039" w:type="dxa"/>
          </w:tcPr>
          <w:p w14:paraId="7616460B" w14:textId="77777777" w:rsidR="00ED4D45" w:rsidRPr="00FE08DE" w:rsidRDefault="00ED4D45" w:rsidP="00ED4D45">
            <w:pPr>
              <w:pStyle w:val="StyleTabletextRight"/>
            </w:pPr>
            <w:r w:rsidRPr="00FE08DE">
              <w:t>218</w:t>
            </w:r>
          </w:p>
        </w:tc>
        <w:tc>
          <w:tcPr>
            <w:tcW w:w="2039" w:type="dxa"/>
          </w:tcPr>
          <w:p w14:paraId="4F8A1B62" w14:textId="102FAF56" w:rsidR="00ED4D45" w:rsidRPr="00FE08DE" w:rsidRDefault="00ED4D45" w:rsidP="00ED4D45">
            <w:pPr>
              <w:pStyle w:val="Tabletext"/>
              <w:jc w:val="right"/>
            </w:pPr>
            <w:r w:rsidRPr="00ED1736">
              <w:t>215</w:t>
            </w:r>
          </w:p>
        </w:tc>
      </w:tr>
      <w:tr w:rsidR="00ED4D45" w:rsidRPr="00FE08DE" w14:paraId="5CAC84EE" w14:textId="77777777" w:rsidTr="00690D4A">
        <w:trPr>
          <w:tblHeader/>
        </w:trPr>
        <w:tc>
          <w:tcPr>
            <w:tcW w:w="2038" w:type="dxa"/>
          </w:tcPr>
          <w:p w14:paraId="17D5C41B" w14:textId="77777777" w:rsidR="00ED4D45" w:rsidRPr="00FE08DE" w:rsidRDefault="00ED4D45" w:rsidP="00ED4D45">
            <w:pPr>
              <w:pStyle w:val="Tabletext"/>
            </w:pPr>
            <w:r w:rsidRPr="00FE08DE">
              <w:t>South</w:t>
            </w:r>
          </w:p>
        </w:tc>
        <w:tc>
          <w:tcPr>
            <w:tcW w:w="2039" w:type="dxa"/>
          </w:tcPr>
          <w:p w14:paraId="7ED10437" w14:textId="77777777" w:rsidR="00ED4D45" w:rsidRPr="00FE08DE" w:rsidRDefault="00ED4D45" w:rsidP="00ED4D45">
            <w:pPr>
              <w:pStyle w:val="StyleTabletextRight"/>
            </w:pPr>
            <w:r w:rsidRPr="00FE08DE">
              <w:t xml:space="preserve"> 605 </w:t>
            </w:r>
          </w:p>
        </w:tc>
        <w:tc>
          <w:tcPr>
            <w:tcW w:w="2039" w:type="dxa"/>
          </w:tcPr>
          <w:p w14:paraId="339BBA55" w14:textId="001C70FA" w:rsidR="00ED4D45" w:rsidRPr="00FE08DE" w:rsidRDefault="00ED4D45" w:rsidP="00ED4D45">
            <w:pPr>
              <w:pStyle w:val="StyleTabletextRight"/>
            </w:pPr>
            <w:r w:rsidRPr="00FE08DE">
              <w:t xml:space="preserve">608 </w:t>
            </w:r>
          </w:p>
        </w:tc>
        <w:tc>
          <w:tcPr>
            <w:tcW w:w="2039" w:type="dxa"/>
          </w:tcPr>
          <w:p w14:paraId="784820C6" w14:textId="77777777" w:rsidR="00ED4D45" w:rsidRPr="00FE08DE" w:rsidRDefault="00ED4D45" w:rsidP="00ED4D45">
            <w:pPr>
              <w:pStyle w:val="StyleTabletextRight"/>
            </w:pPr>
            <w:r w:rsidRPr="00FE08DE">
              <w:t>602</w:t>
            </w:r>
          </w:p>
        </w:tc>
        <w:tc>
          <w:tcPr>
            <w:tcW w:w="2039" w:type="dxa"/>
          </w:tcPr>
          <w:p w14:paraId="021E3A3A" w14:textId="106622C1" w:rsidR="00ED4D45" w:rsidRPr="00FE08DE" w:rsidRDefault="00ED4D45" w:rsidP="00ED4D45">
            <w:pPr>
              <w:pStyle w:val="Tabletext"/>
              <w:jc w:val="right"/>
            </w:pPr>
            <w:r w:rsidRPr="00ED1736">
              <w:t>600</w:t>
            </w:r>
          </w:p>
        </w:tc>
      </w:tr>
      <w:tr w:rsidR="00ED4D45" w:rsidRPr="00FE08DE" w14:paraId="422ABFDB" w14:textId="77777777" w:rsidTr="00690D4A">
        <w:trPr>
          <w:tblHeader/>
        </w:trPr>
        <w:tc>
          <w:tcPr>
            <w:tcW w:w="2038" w:type="dxa"/>
          </w:tcPr>
          <w:p w14:paraId="617491B4" w14:textId="77777777" w:rsidR="00ED4D45" w:rsidRPr="00FE08DE" w:rsidRDefault="00ED4D45" w:rsidP="00ED4D45">
            <w:pPr>
              <w:pStyle w:val="Tabletext"/>
            </w:pPr>
            <w:r w:rsidRPr="00FE08DE">
              <w:t>East</w:t>
            </w:r>
          </w:p>
        </w:tc>
        <w:tc>
          <w:tcPr>
            <w:tcW w:w="2039" w:type="dxa"/>
          </w:tcPr>
          <w:p w14:paraId="50067ECE" w14:textId="77777777" w:rsidR="00ED4D45" w:rsidRPr="00FE08DE" w:rsidRDefault="00ED4D45" w:rsidP="00ED4D45">
            <w:pPr>
              <w:pStyle w:val="StyleTabletextRight"/>
            </w:pPr>
            <w:r w:rsidRPr="00FE08DE">
              <w:t xml:space="preserve"> 232 </w:t>
            </w:r>
          </w:p>
        </w:tc>
        <w:tc>
          <w:tcPr>
            <w:tcW w:w="2039" w:type="dxa"/>
          </w:tcPr>
          <w:p w14:paraId="243B8B91" w14:textId="5E26D1E7" w:rsidR="00ED4D45" w:rsidRPr="00FE08DE" w:rsidRDefault="00ED4D45" w:rsidP="00ED4D45">
            <w:pPr>
              <w:pStyle w:val="StyleTabletextRight"/>
            </w:pPr>
            <w:r w:rsidRPr="00FE08DE">
              <w:t xml:space="preserve">231 </w:t>
            </w:r>
          </w:p>
        </w:tc>
        <w:tc>
          <w:tcPr>
            <w:tcW w:w="2039" w:type="dxa"/>
          </w:tcPr>
          <w:p w14:paraId="1B65EE47" w14:textId="77777777" w:rsidR="00ED4D45" w:rsidRPr="00FE08DE" w:rsidRDefault="00ED4D45" w:rsidP="00ED4D45">
            <w:pPr>
              <w:pStyle w:val="StyleTabletextRight"/>
            </w:pPr>
            <w:r w:rsidRPr="00FE08DE">
              <w:t>228</w:t>
            </w:r>
          </w:p>
        </w:tc>
        <w:tc>
          <w:tcPr>
            <w:tcW w:w="2039" w:type="dxa"/>
          </w:tcPr>
          <w:p w14:paraId="3072E0E7" w14:textId="394FF58B" w:rsidR="00ED4D45" w:rsidRPr="00FE08DE" w:rsidRDefault="00ED4D45" w:rsidP="00ED4D45">
            <w:pPr>
              <w:pStyle w:val="Tabletext"/>
              <w:jc w:val="right"/>
            </w:pPr>
            <w:r w:rsidRPr="00ED1736">
              <w:t>225</w:t>
            </w:r>
          </w:p>
        </w:tc>
      </w:tr>
      <w:tr w:rsidR="00ED4D45" w:rsidRPr="00FE08DE" w14:paraId="48D6E953" w14:textId="77777777" w:rsidTr="00690D4A">
        <w:trPr>
          <w:tblHeader/>
        </w:trPr>
        <w:tc>
          <w:tcPr>
            <w:tcW w:w="2038" w:type="dxa"/>
          </w:tcPr>
          <w:p w14:paraId="7D0F0866" w14:textId="77777777" w:rsidR="00ED4D45" w:rsidRPr="00FE08DE" w:rsidRDefault="00ED4D45" w:rsidP="00ED4D45">
            <w:pPr>
              <w:pStyle w:val="Tabletext"/>
            </w:pPr>
            <w:r w:rsidRPr="00FE08DE">
              <w:t>West</w:t>
            </w:r>
          </w:p>
        </w:tc>
        <w:tc>
          <w:tcPr>
            <w:tcW w:w="2039" w:type="dxa"/>
          </w:tcPr>
          <w:p w14:paraId="44C23B13" w14:textId="77777777" w:rsidR="00ED4D45" w:rsidRPr="00FE08DE" w:rsidRDefault="00ED4D45" w:rsidP="00ED4D45">
            <w:pPr>
              <w:pStyle w:val="StyleTabletextRight"/>
            </w:pPr>
            <w:r w:rsidRPr="00FE08DE">
              <w:t xml:space="preserve"> 488 </w:t>
            </w:r>
          </w:p>
        </w:tc>
        <w:tc>
          <w:tcPr>
            <w:tcW w:w="2039" w:type="dxa"/>
          </w:tcPr>
          <w:p w14:paraId="6A6111DB" w14:textId="124F75C5" w:rsidR="00ED4D45" w:rsidRPr="00FE08DE" w:rsidRDefault="00ED4D45" w:rsidP="00ED4D45">
            <w:pPr>
              <w:pStyle w:val="StyleTabletextRight"/>
            </w:pPr>
            <w:r w:rsidRPr="00FE08DE">
              <w:t xml:space="preserve">482 </w:t>
            </w:r>
          </w:p>
        </w:tc>
        <w:tc>
          <w:tcPr>
            <w:tcW w:w="2039" w:type="dxa"/>
          </w:tcPr>
          <w:p w14:paraId="28F6E31D" w14:textId="77777777" w:rsidR="00ED4D45" w:rsidRPr="00FE08DE" w:rsidRDefault="00ED4D45" w:rsidP="00ED4D45">
            <w:pPr>
              <w:pStyle w:val="StyleTabletextRight"/>
            </w:pPr>
            <w:r w:rsidRPr="00FE08DE">
              <w:t>478</w:t>
            </w:r>
          </w:p>
        </w:tc>
        <w:tc>
          <w:tcPr>
            <w:tcW w:w="2039" w:type="dxa"/>
          </w:tcPr>
          <w:p w14:paraId="2273A03C" w14:textId="4B8BAE83" w:rsidR="00ED4D45" w:rsidRPr="00FE08DE" w:rsidRDefault="00ED4D45" w:rsidP="00ED4D45">
            <w:pPr>
              <w:pStyle w:val="Tabletext"/>
              <w:jc w:val="right"/>
            </w:pPr>
            <w:r w:rsidRPr="00ED1736">
              <w:t>473</w:t>
            </w:r>
          </w:p>
        </w:tc>
      </w:tr>
    </w:tbl>
    <w:p w14:paraId="5C3D3C50" w14:textId="3808BF57" w:rsidR="005F5C52" w:rsidRPr="00536ADD" w:rsidRDefault="005F5C52" w:rsidP="00536ADD">
      <w:pPr>
        <w:pStyle w:val="Heading1"/>
      </w:pPr>
      <w:bookmarkStart w:id="16" w:name="_Toc141344188"/>
      <w:r w:rsidRPr="00536ADD">
        <w:t>Daily average number of children in residential care placements</w:t>
      </w:r>
      <w:bookmarkEnd w:id="16"/>
      <w:r w:rsidRPr="00536ADD">
        <w:t xml:space="preserve"> </w:t>
      </w:r>
    </w:p>
    <w:p w14:paraId="0D3BB156" w14:textId="77777777" w:rsidR="005F5C52" w:rsidRDefault="005F5C52" w:rsidP="005F5C52">
      <w:pPr>
        <w:pStyle w:val="Body"/>
      </w:pPr>
      <w:r>
        <w:t>The 2022-23 Annual target increased to 514.</w:t>
      </w:r>
    </w:p>
    <w:p w14:paraId="7985013C" w14:textId="2E2D5577" w:rsidR="00690D4A" w:rsidRDefault="00690D4A" w:rsidP="00690D4A">
      <w:pPr>
        <w:pStyle w:val="Tablecaption"/>
      </w:pPr>
      <w:r w:rsidRPr="00690D4A">
        <w:t>Financial year to date (YTD). Unit of measure: daily average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6786402C" w14:textId="77777777" w:rsidTr="004814ED">
        <w:trPr>
          <w:tblHeader/>
        </w:trPr>
        <w:tc>
          <w:tcPr>
            <w:tcW w:w="2038" w:type="dxa"/>
          </w:tcPr>
          <w:p w14:paraId="0BA6DD94" w14:textId="77777777" w:rsidR="00FE08DE" w:rsidRPr="00690D4A" w:rsidRDefault="00FE08DE" w:rsidP="00690D4A">
            <w:pPr>
              <w:pStyle w:val="Tablecolhead"/>
            </w:pPr>
            <w:r w:rsidRPr="00690D4A">
              <w:t>Division</w:t>
            </w:r>
          </w:p>
        </w:tc>
        <w:tc>
          <w:tcPr>
            <w:tcW w:w="2039" w:type="dxa"/>
          </w:tcPr>
          <w:p w14:paraId="1B8F3A0E" w14:textId="77777777" w:rsidR="00FE08DE" w:rsidRPr="00690D4A" w:rsidRDefault="00FE08DE" w:rsidP="00690D4A">
            <w:pPr>
              <w:pStyle w:val="Tablecolhead"/>
              <w:jc w:val="right"/>
            </w:pPr>
            <w:r w:rsidRPr="00690D4A">
              <w:t>September 2022</w:t>
            </w:r>
          </w:p>
        </w:tc>
        <w:tc>
          <w:tcPr>
            <w:tcW w:w="2039" w:type="dxa"/>
          </w:tcPr>
          <w:p w14:paraId="60B2E2E8" w14:textId="77777777" w:rsidR="00FE08DE" w:rsidRPr="00690D4A" w:rsidRDefault="00FE08DE" w:rsidP="00690D4A">
            <w:pPr>
              <w:pStyle w:val="Tablecolhead"/>
              <w:jc w:val="right"/>
            </w:pPr>
            <w:r w:rsidRPr="00690D4A">
              <w:t>December 2022</w:t>
            </w:r>
          </w:p>
        </w:tc>
        <w:tc>
          <w:tcPr>
            <w:tcW w:w="2039" w:type="dxa"/>
          </w:tcPr>
          <w:p w14:paraId="49B7C47C" w14:textId="77777777" w:rsidR="00FE08DE" w:rsidRPr="00690D4A" w:rsidRDefault="00FE08DE" w:rsidP="00690D4A">
            <w:pPr>
              <w:pStyle w:val="Tablecolhead"/>
              <w:jc w:val="right"/>
            </w:pPr>
            <w:r w:rsidRPr="00690D4A">
              <w:t>March 2023</w:t>
            </w:r>
          </w:p>
        </w:tc>
        <w:tc>
          <w:tcPr>
            <w:tcW w:w="2039" w:type="dxa"/>
          </w:tcPr>
          <w:p w14:paraId="29F99999" w14:textId="77777777" w:rsidR="00FE08DE" w:rsidRPr="00690D4A" w:rsidRDefault="00FE08DE" w:rsidP="00690D4A">
            <w:pPr>
              <w:pStyle w:val="Tablecolhead"/>
              <w:jc w:val="right"/>
            </w:pPr>
            <w:r w:rsidRPr="00690D4A">
              <w:t>June 2023</w:t>
            </w:r>
          </w:p>
        </w:tc>
      </w:tr>
      <w:tr w:rsidR="00655A4A" w:rsidRPr="00690D4A" w14:paraId="33DD3E74" w14:textId="77777777" w:rsidTr="00655A4A">
        <w:trPr>
          <w:tblHeader/>
        </w:trPr>
        <w:tc>
          <w:tcPr>
            <w:tcW w:w="2038" w:type="dxa"/>
            <w:shd w:val="clear" w:color="auto" w:fill="DAEEF3" w:themeFill="accent5" w:themeFillTint="33"/>
          </w:tcPr>
          <w:p w14:paraId="2458BDAA" w14:textId="77777777" w:rsidR="00655A4A" w:rsidRPr="00690D4A" w:rsidRDefault="00655A4A" w:rsidP="00655A4A">
            <w:pPr>
              <w:pStyle w:val="Tabletext"/>
            </w:pPr>
            <w:r w:rsidRPr="00690D4A">
              <w:t>State</w:t>
            </w:r>
          </w:p>
        </w:tc>
        <w:tc>
          <w:tcPr>
            <w:tcW w:w="2039" w:type="dxa"/>
            <w:shd w:val="clear" w:color="auto" w:fill="DAEEF3" w:themeFill="accent5" w:themeFillTint="33"/>
          </w:tcPr>
          <w:p w14:paraId="7B70E8E3" w14:textId="77777777" w:rsidR="00655A4A" w:rsidRPr="00690D4A" w:rsidRDefault="00655A4A" w:rsidP="00655A4A">
            <w:pPr>
              <w:pStyle w:val="StyleTabletextRight"/>
            </w:pPr>
            <w:r w:rsidRPr="00690D4A">
              <w:t xml:space="preserve"> 502 </w:t>
            </w:r>
          </w:p>
        </w:tc>
        <w:tc>
          <w:tcPr>
            <w:tcW w:w="2039" w:type="dxa"/>
            <w:shd w:val="clear" w:color="auto" w:fill="DAEEF3" w:themeFill="accent5" w:themeFillTint="33"/>
          </w:tcPr>
          <w:p w14:paraId="35A34D44" w14:textId="0D65C92E" w:rsidR="00655A4A" w:rsidRPr="00690D4A" w:rsidRDefault="00655A4A" w:rsidP="00655A4A">
            <w:pPr>
              <w:pStyle w:val="StyleTabletextRight"/>
            </w:pPr>
            <w:r w:rsidRPr="00690D4A">
              <w:t xml:space="preserve">503 </w:t>
            </w:r>
          </w:p>
        </w:tc>
        <w:tc>
          <w:tcPr>
            <w:tcW w:w="2039" w:type="dxa"/>
            <w:shd w:val="clear" w:color="auto" w:fill="DAEEF3" w:themeFill="accent5" w:themeFillTint="33"/>
          </w:tcPr>
          <w:p w14:paraId="54D80CD5" w14:textId="77777777" w:rsidR="00655A4A" w:rsidRPr="00690D4A" w:rsidRDefault="00655A4A" w:rsidP="00655A4A">
            <w:pPr>
              <w:pStyle w:val="StyleTabletextRight"/>
            </w:pPr>
            <w:r w:rsidRPr="00690D4A">
              <w:t>502</w:t>
            </w:r>
          </w:p>
        </w:tc>
        <w:tc>
          <w:tcPr>
            <w:tcW w:w="2039" w:type="dxa"/>
            <w:shd w:val="clear" w:color="auto" w:fill="DAEEF3" w:themeFill="accent5" w:themeFillTint="33"/>
          </w:tcPr>
          <w:p w14:paraId="7F712D21" w14:textId="1D693DC7" w:rsidR="00655A4A" w:rsidRPr="00690D4A" w:rsidRDefault="00655A4A" w:rsidP="00655A4A">
            <w:pPr>
              <w:pStyle w:val="Tabletext"/>
              <w:jc w:val="right"/>
            </w:pPr>
            <w:r w:rsidRPr="004B57B3">
              <w:t>497</w:t>
            </w:r>
          </w:p>
        </w:tc>
      </w:tr>
      <w:tr w:rsidR="00655A4A" w:rsidRPr="00690D4A" w14:paraId="329AD8AE" w14:textId="77777777" w:rsidTr="004814ED">
        <w:trPr>
          <w:tblHeader/>
        </w:trPr>
        <w:tc>
          <w:tcPr>
            <w:tcW w:w="2038" w:type="dxa"/>
          </w:tcPr>
          <w:p w14:paraId="49B1BE88" w14:textId="77777777" w:rsidR="00655A4A" w:rsidRPr="00690D4A" w:rsidRDefault="00655A4A" w:rsidP="00655A4A">
            <w:pPr>
              <w:pStyle w:val="Tabletext"/>
            </w:pPr>
            <w:r w:rsidRPr="00690D4A">
              <w:t>North</w:t>
            </w:r>
          </w:p>
        </w:tc>
        <w:tc>
          <w:tcPr>
            <w:tcW w:w="2039" w:type="dxa"/>
          </w:tcPr>
          <w:p w14:paraId="42E751CE" w14:textId="77777777" w:rsidR="00655A4A" w:rsidRPr="00690D4A" w:rsidRDefault="00655A4A" w:rsidP="00655A4A">
            <w:pPr>
              <w:pStyle w:val="StyleTabletextRight"/>
            </w:pPr>
            <w:r w:rsidRPr="00690D4A">
              <w:t>104</w:t>
            </w:r>
          </w:p>
        </w:tc>
        <w:tc>
          <w:tcPr>
            <w:tcW w:w="2039" w:type="dxa"/>
          </w:tcPr>
          <w:p w14:paraId="3F3A22FA" w14:textId="14E3AF8C" w:rsidR="00655A4A" w:rsidRPr="00690D4A" w:rsidRDefault="00655A4A" w:rsidP="00655A4A">
            <w:pPr>
              <w:pStyle w:val="StyleTabletextRight"/>
            </w:pPr>
            <w:r w:rsidRPr="00690D4A">
              <w:t xml:space="preserve">106 </w:t>
            </w:r>
          </w:p>
        </w:tc>
        <w:tc>
          <w:tcPr>
            <w:tcW w:w="2039" w:type="dxa"/>
          </w:tcPr>
          <w:p w14:paraId="345CB42D" w14:textId="77777777" w:rsidR="00655A4A" w:rsidRPr="00690D4A" w:rsidRDefault="00655A4A" w:rsidP="00655A4A">
            <w:pPr>
              <w:pStyle w:val="StyleTabletextRight"/>
            </w:pPr>
            <w:r w:rsidRPr="00690D4A">
              <w:t>106</w:t>
            </w:r>
          </w:p>
        </w:tc>
        <w:tc>
          <w:tcPr>
            <w:tcW w:w="2039" w:type="dxa"/>
          </w:tcPr>
          <w:p w14:paraId="6378F6A4" w14:textId="6973B416" w:rsidR="00655A4A" w:rsidRPr="00690D4A" w:rsidRDefault="00655A4A" w:rsidP="00655A4A">
            <w:pPr>
              <w:pStyle w:val="Tabletext"/>
              <w:jc w:val="right"/>
            </w:pPr>
            <w:r w:rsidRPr="004B57B3">
              <w:t>105</w:t>
            </w:r>
          </w:p>
        </w:tc>
      </w:tr>
      <w:tr w:rsidR="00655A4A" w:rsidRPr="00690D4A" w14:paraId="6306BB7A" w14:textId="77777777" w:rsidTr="004814ED">
        <w:trPr>
          <w:tblHeader/>
        </w:trPr>
        <w:tc>
          <w:tcPr>
            <w:tcW w:w="2038" w:type="dxa"/>
          </w:tcPr>
          <w:p w14:paraId="797762A6" w14:textId="77777777" w:rsidR="00655A4A" w:rsidRPr="00690D4A" w:rsidRDefault="00655A4A" w:rsidP="00655A4A">
            <w:pPr>
              <w:pStyle w:val="Tabletext"/>
            </w:pPr>
            <w:r w:rsidRPr="00690D4A">
              <w:t>South</w:t>
            </w:r>
          </w:p>
        </w:tc>
        <w:tc>
          <w:tcPr>
            <w:tcW w:w="2039" w:type="dxa"/>
          </w:tcPr>
          <w:p w14:paraId="74107988" w14:textId="77777777" w:rsidR="00655A4A" w:rsidRPr="00690D4A" w:rsidRDefault="00655A4A" w:rsidP="00655A4A">
            <w:pPr>
              <w:pStyle w:val="StyleTabletextRight"/>
            </w:pPr>
            <w:r w:rsidRPr="00690D4A">
              <w:t>116</w:t>
            </w:r>
          </w:p>
        </w:tc>
        <w:tc>
          <w:tcPr>
            <w:tcW w:w="2039" w:type="dxa"/>
          </w:tcPr>
          <w:p w14:paraId="371340BB" w14:textId="7DD24C6C" w:rsidR="00655A4A" w:rsidRPr="00690D4A" w:rsidRDefault="00655A4A" w:rsidP="00655A4A">
            <w:pPr>
              <w:pStyle w:val="StyleTabletextRight"/>
            </w:pPr>
            <w:r w:rsidRPr="00690D4A">
              <w:t xml:space="preserve">118 </w:t>
            </w:r>
          </w:p>
        </w:tc>
        <w:tc>
          <w:tcPr>
            <w:tcW w:w="2039" w:type="dxa"/>
          </w:tcPr>
          <w:p w14:paraId="78A7162E" w14:textId="77777777" w:rsidR="00655A4A" w:rsidRPr="00690D4A" w:rsidRDefault="00655A4A" w:rsidP="00655A4A">
            <w:pPr>
              <w:pStyle w:val="StyleTabletextRight"/>
            </w:pPr>
            <w:r w:rsidRPr="00690D4A">
              <w:t>117</w:t>
            </w:r>
          </w:p>
        </w:tc>
        <w:tc>
          <w:tcPr>
            <w:tcW w:w="2039" w:type="dxa"/>
          </w:tcPr>
          <w:p w14:paraId="3D0AD128" w14:textId="16D0A40F" w:rsidR="00655A4A" w:rsidRPr="00690D4A" w:rsidRDefault="00655A4A" w:rsidP="00655A4A">
            <w:pPr>
              <w:pStyle w:val="Tabletext"/>
              <w:jc w:val="right"/>
            </w:pPr>
            <w:r w:rsidRPr="004B57B3">
              <w:t>118</w:t>
            </w:r>
          </w:p>
        </w:tc>
      </w:tr>
      <w:tr w:rsidR="00655A4A" w:rsidRPr="00690D4A" w14:paraId="1F844A02" w14:textId="77777777" w:rsidTr="004814ED">
        <w:trPr>
          <w:tblHeader/>
        </w:trPr>
        <w:tc>
          <w:tcPr>
            <w:tcW w:w="2038" w:type="dxa"/>
          </w:tcPr>
          <w:p w14:paraId="14533042" w14:textId="77777777" w:rsidR="00655A4A" w:rsidRPr="00690D4A" w:rsidRDefault="00655A4A" w:rsidP="00655A4A">
            <w:pPr>
              <w:pStyle w:val="Tabletext"/>
            </w:pPr>
            <w:r w:rsidRPr="00690D4A">
              <w:t>East</w:t>
            </w:r>
          </w:p>
        </w:tc>
        <w:tc>
          <w:tcPr>
            <w:tcW w:w="2039" w:type="dxa"/>
          </w:tcPr>
          <w:p w14:paraId="566F0DE5" w14:textId="77777777" w:rsidR="00655A4A" w:rsidRPr="00690D4A" w:rsidRDefault="00655A4A" w:rsidP="00655A4A">
            <w:pPr>
              <w:pStyle w:val="StyleTabletextRight"/>
            </w:pPr>
            <w:r w:rsidRPr="00690D4A">
              <w:t>97</w:t>
            </w:r>
          </w:p>
        </w:tc>
        <w:tc>
          <w:tcPr>
            <w:tcW w:w="2039" w:type="dxa"/>
          </w:tcPr>
          <w:p w14:paraId="7D74F3B0" w14:textId="07CABEC7" w:rsidR="00655A4A" w:rsidRPr="00690D4A" w:rsidRDefault="00655A4A" w:rsidP="00655A4A">
            <w:pPr>
              <w:pStyle w:val="StyleTabletextRight"/>
            </w:pPr>
            <w:r w:rsidRPr="00690D4A">
              <w:t xml:space="preserve">94 </w:t>
            </w:r>
          </w:p>
        </w:tc>
        <w:tc>
          <w:tcPr>
            <w:tcW w:w="2039" w:type="dxa"/>
          </w:tcPr>
          <w:p w14:paraId="0AB59D8D" w14:textId="77777777" w:rsidR="00655A4A" w:rsidRPr="00690D4A" w:rsidRDefault="00655A4A" w:rsidP="00655A4A">
            <w:pPr>
              <w:pStyle w:val="StyleTabletextRight"/>
            </w:pPr>
            <w:r w:rsidRPr="00690D4A">
              <w:t>97</w:t>
            </w:r>
          </w:p>
        </w:tc>
        <w:tc>
          <w:tcPr>
            <w:tcW w:w="2039" w:type="dxa"/>
          </w:tcPr>
          <w:p w14:paraId="7469F260" w14:textId="5D3294C9" w:rsidR="00655A4A" w:rsidRPr="00690D4A" w:rsidRDefault="00655A4A" w:rsidP="00655A4A">
            <w:pPr>
              <w:pStyle w:val="Tabletext"/>
              <w:jc w:val="right"/>
            </w:pPr>
            <w:r w:rsidRPr="004B57B3">
              <w:t>97</w:t>
            </w:r>
          </w:p>
        </w:tc>
      </w:tr>
      <w:tr w:rsidR="00655A4A" w:rsidRPr="00690D4A" w14:paraId="0282F893" w14:textId="77777777" w:rsidTr="004814ED">
        <w:trPr>
          <w:tblHeader/>
        </w:trPr>
        <w:tc>
          <w:tcPr>
            <w:tcW w:w="2038" w:type="dxa"/>
          </w:tcPr>
          <w:p w14:paraId="3117EF64" w14:textId="77777777" w:rsidR="00655A4A" w:rsidRPr="00690D4A" w:rsidRDefault="00655A4A" w:rsidP="00655A4A">
            <w:pPr>
              <w:pStyle w:val="Tabletext"/>
            </w:pPr>
            <w:r w:rsidRPr="00690D4A">
              <w:t>West</w:t>
            </w:r>
          </w:p>
        </w:tc>
        <w:tc>
          <w:tcPr>
            <w:tcW w:w="2039" w:type="dxa"/>
          </w:tcPr>
          <w:p w14:paraId="7E479FCC" w14:textId="77777777" w:rsidR="00655A4A" w:rsidRPr="00690D4A" w:rsidRDefault="00655A4A" w:rsidP="00655A4A">
            <w:pPr>
              <w:pStyle w:val="StyleTabletextRight"/>
            </w:pPr>
            <w:r w:rsidRPr="00690D4A">
              <w:t>184</w:t>
            </w:r>
          </w:p>
        </w:tc>
        <w:tc>
          <w:tcPr>
            <w:tcW w:w="2039" w:type="dxa"/>
          </w:tcPr>
          <w:p w14:paraId="1CCA5876" w14:textId="08058F5E" w:rsidR="00655A4A" w:rsidRPr="00690D4A" w:rsidRDefault="00655A4A" w:rsidP="00655A4A">
            <w:pPr>
              <w:pStyle w:val="StyleTabletextRight"/>
            </w:pPr>
            <w:r w:rsidRPr="00690D4A">
              <w:t xml:space="preserve">185 </w:t>
            </w:r>
          </w:p>
        </w:tc>
        <w:tc>
          <w:tcPr>
            <w:tcW w:w="2039" w:type="dxa"/>
          </w:tcPr>
          <w:p w14:paraId="19B06A61" w14:textId="77777777" w:rsidR="00655A4A" w:rsidRPr="00690D4A" w:rsidRDefault="00655A4A" w:rsidP="00655A4A">
            <w:pPr>
              <w:pStyle w:val="StyleTabletextRight"/>
            </w:pPr>
            <w:r w:rsidRPr="00690D4A">
              <w:t>182</w:t>
            </w:r>
          </w:p>
        </w:tc>
        <w:tc>
          <w:tcPr>
            <w:tcW w:w="2039" w:type="dxa"/>
          </w:tcPr>
          <w:p w14:paraId="1FEDD7F8" w14:textId="7882CBD7" w:rsidR="00655A4A" w:rsidRPr="00690D4A" w:rsidRDefault="00655A4A" w:rsidP="00655A4A">
            <w:pPr>
              <w:pStyle w:val="Tabletext"/>
              <w:jc w:val="right"/>
            </w:pPr>
            <w:r w:rsidRPr="004B57B3">
              <w:t>177</w:t>
            </w:r>
          </w:p>
        </w:tc>
      </w:tr>
    </w:tbl>
    <w:p w14:paraId="5B1840FC" w14:textId="77777777" w:rsidR="006B2319" w:rsidRDefault="006B2319" w:rsidP="00536ADD">
      <w:pPr>
        <w:pStyle w:val="Heading1"/>
      </w:pPr>
      <w:bookmarkStart w:id="17" w:name="_Toc141344189"/>
    </w:p>
    <w:p w14:paraId="2EF6FB0A" w14:textId="77777777" w:rsidR="006B2319" w:rsidRDefault="006B2319">
      <w:pPr>
        <w:spacing w:after="0" w:line="240" w:lineRule="auto"/>
        <w:rPr>
          <w:rFonts w:eastAsia="MS Gothic" w:cs="Arial"/>
          <w:bCs/>
          <w:color w:val="201547"/>
          <w:kern w:val="32"/>
          <w:sz w:val="32"/>
          <w:szCs w:val="40"/>
        </w:rPr>
      </w:pPr>
      <w:r>
        <w:br w:type="page"/>
      </w:r>
    </w:p>
    <w:p w14:paraId="7CAC99C1" w14:textId="4C81E9E6" w:rsidR="005F5C52" w:rsidRDefault="005F5C52" w:rsidP="00536ADD">
      <w:pPr>
        <w:pStyle w:val="Heading1"/>
      </w:pPr>
      <w:r>
        <w:lastRenderedPageBreak/>
        <w:t>Daily average number of children in kinship care placements</w:t>
      </w:r>
      <w:bookmarkEnd w:id="17"/>
      <w:r>
        <w:t xml:space="preserve"> </w:t>
      </w:r>
    </w:p>
    <w:p w14:paraId="28C69E55" w14:textId="77777777" w:rsidR="005F5C52" w:rsidRDefault="005F5C52" w:rsidP="005F5C52">
      <w:pPr>
        <w:pStyle w:val="Body"/>
      </w:pPr>
      <w:r>
        <w:t>The 2022-23 Annual target increased to 8,338.</w:t>
      </w:r>
    </w:p>
    <w:p w14:paraId="0267B494" w14:textId="544FC263" w:rsidR="00690D4A" w:rsidRDefault="00690D4A" w:rsidP="00690D4A">
      <w:pPr>
        <w:pStyle w:val="Tablecaption"/>
      </w:pPr>
      <w:r w:rsidRPr="00690D4A">
        <w:t>Financial year to date (YTD). Unit of measure: daily average number.</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204E22B5" w14:textId="77777777" w:rsidTr="004814ED">
        <w:trPr>
          <w:tblHeader/>
        </w:trPr>
        <w:tc>
          <w:tcPr>
            <w:tcW w:w="2038" w:type="dxa"/>
          </w:tcPr>
          <w:p w14:paraId="5F74C272" w14:textId="77777777" w:rsidR="00FE08DE" w:rsidRPr="00690D4A" w:rsidRDefault="00FE08DE" w:rsidP="00690D4A">
            <w:pPr>
              <w:pStyle w:val="Tablecolhead"/>
            </w:pPr>
            <w:r w:rsidRPr="00690D4A">
              <w:t>Division</w:t>
            </w:r>
          </w:p>
        </w:tc>
        <w:tc>
          <w:tcPr>
            <w:tcW w:w="2039" w:type="dxa"/>
          </w:tcPr>
          <w:p w14:paraId="1D54686E" w14:textId="77777777" w:rsidR="00FE08DE" w:rsidRPr="00690D4A" w:rsidRDefault="00FE08DE" w:rsidP="00690D4A">
            <w:pPr>
              <w:pStyle w:val="Tablecolhead"/>
              <w:jc w:val="right"/>
            </w:pPr>
            <w:r w:rsidRPr="00690D4A">
              <w:t>September 2022</w:t>
            </w:r>
          </w:p>
        </w:tc>
        <w:tc>
          <w:tcPr>
            <w:tcW w:w="2039" w:type="dxa"/>
          </w:tcPr>
          <w:p w14:paraId="4A3715B5" w14:textId="77777777" w:rsidR="00FE08DE" w:rsidRPr="00690D4A" w:rsidRDefault="00FE08DE" w:rsidP="00690D4A">
            <w:pPr>
              <w:pStyle w:val="Tablecolhead"/>
              <w:jc w:val="right"/>
            </w:pPr>
            <w:r w:rsidRPr="00690D4A">
              <w:t>December 2022</w:t>
            </w:r>
          </w:p>
        </w:tc>
        <w:tc>
          <w:tcPr>
            <w:tcW w:w="2039" w:type="dxa"/>
          </w:tcPr>
          <w:p w14:paraId="3E48A11D" w14:textId="77777777" w:rsidR="00FE08DE" w:rsidRPr="00690D4A" w:rsidRDefault="00FE08DE" w:rsidP="00690D4A">
            <w:pPr>
              <w:pStyle w:val="Tablecolhead"/>
              <w:jc w:val="right"/>
            </w:pPr>
            <w:r w:rsidRPr="00690D4A">
              <w:t>March 2023</w:t>
            </w:r>
          </w:p>
        </w:tc>
        <w:tc>
          <w:tcPr>
            <w:tcW w:w="2039" w:type="dxa"/>
          </w:tcPr>
          <w:p w14:paraId="03599FA5" w14:textId="77777777" w:rsidR="00FE08DE" w:rsidRPr="00690D4A" w:rsidRDefault="00FE08DE" w:rsidP="00690D4A">
            <w:pPr>
              <w:pStyle w:val="Tablecolhead"/>
              <w:jc w:val="right"/>
            </w:pPr>
            <w:r w:rsidRPr="00690D4A">
              <w:t>June 2023</w:t>
            </w:r>
          </w:p>
        </w:tc>
      </w:tr>
      <w:tr w:rsidR="00FE03B1" w:rsidRPr="00690D4A" w14:paraId="5126F6D5" w14:textId="77777777" w:rsidTr="00FE03B1">
        <w:trPr>
          <w:tblHeader/>
        </w:trPr>
        <w:tc>
          <w:tcPr>
            <w:tcW w:w="2038" w:type="dxa"/>
            <w:shd w:val="clear" w:color="auto" w:fill="DAEEF3" w:themeFill="accent5" w:themeFillTint="33"/>
          </w:tcPr>
          <w:p w14:paraId="70964235" w14:textId="77777777" w:rsidR="00FE03B1" w:rsidRPr="00690D4A" w:rsidRDefault="00FE03B1" w:rsidP="00FE03B1">
            <w:pPr>
              <w:pStyle w:val="Tabletext"/>
            </w:pPr>
            <w:r w:rsidRPr="00690D4A">
              <w:t>State</w:t>
            </w:r>
          </w:p>
        </w:tc>
        <w:tc>
          <w:tcPr>
            <w:tcW w:w="2039" w:type="dxa"/>
            <w:shd w:val="clear" w:color="auto" w:fill="DAEEF3" w:themeFill="accent5" w:themeFillTint="33"/>
          </w:tcPr>
          <w:p w14:paraId="4F76DDE5" w14:textId="30573946" w:rsidR="00FE03B1" w:rsidRPr="00690D4A" w:rsidRDefault="00FE03B1" w:rsidP="00FE03B1">
            <w:pPr>
              <w:pStyle w:val="StyleTabletextRight"/>
            </w:pPr>
            <w:r w:rsidRPr="00690D4A">
              <w:t>7,338</w:t>
            </w:r>
          </w:p>
        </w:tc>
        <w:tc>
          <w:tcPr>
            <w:tcW w:w="2039" w:type="dxa"/>
            <w:shd w:val="clear" w:color="auto" w:fill="DAEEF3" w:themeFill="accent5" w:themeFillTint="33"/>
          </w:tcPr>
          <w:p w14:paraId="1E2B70BC" w14:textId="1D3CFFFC" w:rsidR="00FE03B1" w:rsidRPr="00690D4A" w:rsidRDefault="00FE03B1" w:rsidP="00FE03B1">
            <w:pPr>
              <w:pStyle w:val="StyleTabletextRight"/>
            </w:pPr>
            <w:r w:rsidRPr="00690D4A">
              <w:t>7,362</w:t>
            </w:r>
          </w:p>
        </w:tc>
        <w:tc>
          <w:tcPr>
            <w:tcW w:w="2039" w:type="dxa"/>
            <w:shd w:val="clear" w:color="auto" w:fill="DAEEF3" w:themeFill="accent5" w:themeFillTint="33"/>
          </w:tcPr>
          <w:p w14:paraId="0390AE46" w14:textId="77777777" w:rsidR="00FE03B1" w:rsidRPr="00690D4A" w:rsidRDefault="00FE03B1" w:rsidP="00FE03B1">
            <w:pPr>
              <w:pStyle w:val="StyleTabletextRight"/>
            </w:pPr>
            <w:r w:rsidRPr="00690D4A">
              <w:t>7,362</w:t>
            </w:r>
          </w:p>
        </w:tc>
        <w:tc>
          <w:tcPr>
            <w:tcW w:w="2039" w:type="dxa"/>
            <w:shd w:val="clear" w:color="auto" w:fill="DAEEF3" w:themeFill="accent5" w:themeFillTint="33"/>
          </w:tcPr>
          <w:p w14:paraId="607A5BF7" w14:textId="2D1D01C8" w:rsidR="00FE03B1" w:rsidRPr="00690D4A" w:rsidRDefault="00FE03B1" w:rsidP="00FE03B1">
            <w:pPr>
              <w:pStyle w:val="Tabletext"/>
              <w:jc w:val="right"/>
            </w:pPr>
            <w:r w:rsidRPr="00C543A3">
              <w:t xml:space="preserve"> 7,354 </w:t>
            </w:r>
          </w:p>
        </w:tc>
      </w:tr>
      <w:tr w:rsidR="00FE03B1" w:rsidRPr="00690D4A" w14:paraId="56CB97AA" w14:textId="77777777" w:rsidTr="004814ED">
        <w:trPr>
          <w:tblHeader/>
        </w:trPr>
        <w:tc>
          <w:tcPr>
            <w:tcW w:w="2038" w:type="dxa"/>
          </w:tcPr>
          <w:p w14:paraId="5ED83CFE" w14:textId="77777777" w:rsidR="00FE03B1" w:rsidRPr="00690D4A" w:rsidRDefault="00FE03B1" w:rsidP="00FE03B1">
            <w:pPr>
              <w:pStyle w:val="Tabletext"/>
            </w:pPr>
            <w:r w:rsidRPr="00690D4A">
              <w:t>North</w:t>
            </w:r>
          </w:p>
        </w:tc>
        <w:tc>
          <w:tcPr>
            <w:tcW w:w="2039" w:type="dxa"/>
          </w:tcPr>
          <w:p w14:paraId="28A8C087" w14:textId="641C64E3" w:rsidR="00FE03B1" w:rsidRPr="00690D4A" w:rsidRDefault="00FE03B1" w:rsidP="00FE03B1">
            <w:pPr>
              <w:pStyle w:val="StyleTabletextRight"/>
            </w:pPr>
            <w:r w:rsidRPr="00690D4A">
              <w:t>1,474</w:t>
            </w:r>
          </w:p>
        </w:tc>
        <w:tc>
          <w:tcPr>
            <w:tcW w:w="2039" w:type="dxa"/>
          </w:tcPr>
          <w:p w14:paraId="6CEED63A" w14:textId="483519F3" w:rsidR="00FE03B1" w:rsidRPr="00690D4A" w:rsidRDefault="00FE03B1" w:rsidP="00FE03B1">
            <w:pPr>
              <w:pStyle w:val="StyleTabletextRight"/>
            </w:pPr>
            <w:r w:rsidRPr="00690D4A">
              <w:t>1,476</w:t>
            </w:r>
          </w:p>
        </w:tc>
        <w:tc>
          <w:tcPr>
            <w:tcW w:w="2039" w:type="dxa"/>
          </w:tcPr>
          <w:p w14:paraId="219D7173" w14:textId="77777777" w:rsidR="00FE03B1" w:rsidRPr="00690D4A" w:rsidRDefault="00FE03B1" w:rsidP="00FE03B1">
            <w:pPr>
              <w:pStyle w:val="StyleTabletextRight"/>
            </w:pPr>
            <w:r w:rsidRPr="00690D4A">
              <w:t>1,467</w:t>
            </w:r>
          </w:p>
        </w:tc>
        <w:tc>
          <w:tcPr>
            <w:tcW w:w="2039" w:type="dxa"/>
          </w:tcPr>
          <w:p w14:paraId="3015FE5A" w14:textId="4CDA174B" w:rsidR="00FE03B1" w:rsidRPr="00690D4A" w:rsidRDefault="00FE03B1" w:rsidP="00FE03B1">
            <w:pPr>
              <w:pStyle w:val="Tabletext"/>
              <w:jc w:val="right"/>
            </w:pPr>
            <w:r w:rsidRPr="00C543A3">
              <w:t xml:space="preserve"> 1,458 </w:t>
            </w:r>
          </w:p>
        </w:tc>
      </w:tr>
      <w:tr w:rsidR="00FE03B1" w:rsidRPr="00690D4A" w14:paraId="53CCD795" w14:textId="77777777" w:rsidTr="004814ED">
        <w:trPr>
          <w:tblHeader/>
        </w:trPr>
        <w:tc>
          <w:tcPr>
            <w:tcW w:w="2038" w:type="dxa"/>
          </w:tcPr>
          <w:p w14:paraId="5B862DD9" w14:textId="77777777" w:rsidR="00FE03B1" w:rsidRPr="00690D4A" w:rsidRDefault="00FE03B1" w:rsidP="00FE03B1">
            <w:pPr>
              <w:pStyle w:val="Tabletext"/>
            </w:pPr>
            <w:r w:rsidRPr="00690D4A">
              <w:t>South</w:t>
            </w:r>
          </w:p>
        </w:tc>
        <w:tc>
          <w:tcPr>
            <w:tcW w:w="2039" w:type="dxa"/>
          </w:tcPr>
          <w:p w14:paraId="4599B68C" w14:textId="0E6E3C46" w:rsidR="00FE03B1" w:rsidRPr="00690D4A" w:rsidRDefault="00FE03B1" w:rsidP="00FE03B1">
            <w:pPr>
              <w:pStyle w:val="StyleTabletextRight"/>
            </w:pPr>
            <w:r w:rsidRPr="00690D4A">
              <w:t>2,450</w:t>
            </w:r>
          </w:p>
        </w:tc>
        <w:tc>
          <w:tcPr>
            <w:tcW w:w="2039" w:type="dxa"/>
          </w:tcPr>
          <w:p w14:paraId="34FCF519" w14:textId="383149FB" w:rsidR="00FE03B1" w:rsidRPr="00690D4A" w:rsidRDefault="00FE03B1" w:rsidP="00FE03B1">
            <w:pPr>
              <w:pStyle w:val="StyleTabletextRight"/>
            </w:pPr>
            <w:r w:rsidRPr="00690D4A">
              <w:t>2,462</w:t>
            </w:r>
          </w:p>
        </w:tc>
        <w:tc>
          <w:tcPr>
            <w:tcW w:w="2039" w:type="dxa"/>
          </w:tcPr>
          <w:p w14:paraId="67538A8F" w14:textId="77777777" w:rsidR="00FE03B1" w:rsidRPr="00690D4A" w:rsidRDefault="00FE03B1" w:rsidP="00FE03B1">
            <w:pPr>
              <w:pStyle w:val="StyleTabletextRight"/>
            </w:pPr>
            <w:r w:rsidRPr="00690D4A">
              <w:t>2,445</w:t>
            </w:r>
          </w:p>
        </w:tc>
        <w:tc>
          <w:tcPr>
            <w:tcW w:w="2039" w:type="dxa"/>
          </w:tcPr>
          <w:p w14:paraId="0AF77EEC" w14:textId="65BC7694" w:rsidR="00FE03B1" w:rsidRPr="00690D4A" w:rsidRDefault="00FE03B1" w:rsidP="00FE03B1">
            <w:pPr>
              <w:pStyle w:val="Tabletext"/>
              <w:jc w:val="right"/>
            </w:pPr>
            <w:r w:rsidRPr="00C543A3">
              <w:t xml:space="preserve"> 2,434 </w:t>
            </w:r>
          </w:p>
        </w:tc>
      </w:tr>
      <w:tr w:rsidR="00FE03B1" w:rsidRPr="00690D4A" w14:paraId="0EC40D71" w14:textId="77777777" w:rsidTr="004814ED">
        <w:trPr>
          <w:tblHeader/>
        </w:trPr>
        <w:tc>
          <w:tcPr>
            <w:tcW w:w="2038" w:type="dxa"/>
          </w:tcPr>
          <w:p w14:paraId="747763A4" w14:textId="77777777" w:rsidR="00FE03B1" w:rsidRPr="00690D4A" w:rsidRDefault="00FE03B1" w:rsidP="00FE03B1">
            <w:pPr>
              <w:pStyle w:val="Tabletext"/>
            </w:pPr>
            <w:r w:rsidRPr="00690D4A">
              <w:t>East</w:t>
            </w:r>
          </w:p>
        </w:tc>
        <w:tc>
          <w:tcPr>
            <w:tcW w:w="2039" w:type="dxa"/>
          </w:tcPr>
          <w:p w14:paraId="233675BA" w14:textId="3FA3EAA9" w:rsidR="00FE03B1" w:rsidRPr="00690D4A" w:rsidRDefault="00FE03B1" w:rsidP="00FE03B1">
            <w:pPr>
              <w:pStyle w:val="StyleTabletextRight"/>
            </w:pPr>
            <w:r w:rsidRPr="00690D4A">
              <w:t>1,207</w:t>
            </w:r>
          </w:p>
        </w:tc>
        <w:tc>
          <w:tcPr>
            <w:tcW w:w="2039" w:type="dxa"/>
          </w:tcPr>
          <w:p w14:paraId="7B4F30D1" w14:textId="55EFFFB1" w:rsidR="00FE03B1" w:rsidRPr="00690D4A" w:rsidRDefault="00FE03B1" w:rsidP="00FE03B1">
            <w:pPr>
              <w:pStyle w:val="StyleTabletextRight"/>
            </w:pPr>
            <w:r w:rsidRPr="00690D4A">
              <w:t>1,214</w:t>
            </w:r>
          </w:p>
        </w:tc>
        <w:tc>
          <w:tcPr>
            <w:tcW w:w="2039" w:type="dxa"/>
          </w:tcPr>
          <w:p w14:paraId="2810B05F" w14:textId="77777777" w:rsidR="00FE03B1" w:rsidRPr="00690D4A" w:rsidRDefault="00FE03B1" w:rsidP="00FE03B1">
            <w:pPr>
              <w:pStyle w:val="StyleTabletextRight"/>
            </w:pPr>
            <w:r w:rsidRPr="00690D4A">
              <w:t>1,216</w:t>
            </w:r>
          </w:p>
        </w:tc>
        <w:tc>
          <w:tcPr>
            <w:tcW w:w="2039" w:type="dxa"/>
          </w:tcPr>
          <w:p w14:paraId="234AFC76" w14:textId="0A1DFFE8" w:rsidR="00FE03B1" w:rsidRPr="00690D4A" w:rsidRDefault="00FE03B1" w:rsidP="00FE03B1">
            <w:pPr>
              <w:pStyle w:val="Tabletext"/>
              <w:jc w:val="right"/>
            </w:pPr>
            <w:r w:rsidRPr="00C543A3">
              <w:t xml:space="preserve"> 1,219 </w:t>
            </w:r>
          </w:p>
        </w:tc>
      </w:tr>
      <w:tr w:rsidR="00FE03B1" w:rsidRPr="00690D4A" w14:paraId="48F84F04" w14:textId="77777777" w:rsidTr="004814ED">
        <w:trPr>
          <w:tblHeader/>
        </w:trPr>
        <w:tc>
          <w:tcPr>
            <w:tcW w:w="2038" w:type="dxa"/>
          </w:tcPr>
          <w:p w14:paraId="124461F9" w14:textId="77777777" w:rsidR="00FE03B1" w:rsidRPr="00690D4A" w:rsidRDefault="00FE03B1" w:rsidP="00FE03B1">
            <w:pPr>
              <w:pStyle w:val="Tabletext"/>
            </w:pPr>
            <w:r w:rsidRPr="00690D4A">
              <w:t>West</w:t>
            </w:r>
          </w:p>
        </w:tc>
        <w:tc>
          <w:tcPr>
            <w:tcW w:w="2039" w:type="dxa"/>
          </w:tcPr>
          <w:p w14:paraId="646F5097" w14:textId="4C9307ED" w:rsidR="00FE03B1" w:rsidRPr="00690D4A" w:rsidRDefault="00FE03B1" w:rsidP="00FE03B1">
            <w:pPr>
              <w:pStyle w:val="StyleTabletextRight"/>
            </w:pPr>
            <w:r w:rsidRPr="00690D4A">
              <w:t>2,206</w:t>
            </w:r>
          </w:p>
        </w:tc>
        <w:tc>
          <w:tcPr>
            <w:tcW w:w="2039" w:type="dxa"/>
          </w:tcPr>
          <w:p w14:paraId="1D73A778" w14:textId="73311D83" w:rsidR="00FE03B1" w:rsidRPr="00690D4A" w:rsidRDefault="00FE03B1" w:rsidP="00FE03B1">
            <w:pPr>
              <w:pStyle w:val="StyleTabletextRight"/>
            </w:pPr>
            <w:r w:rsidRPr="00690D4A">
              <w:t>2,209</w:t>
            </w:r>
          </w:p>
        </w:tc>
        <w:tc>
          <w:tcPr>
            <w:tcW w:w="2039" w:type="dxa"/>
          </w:tcPr>
          <w:p w14:paraId="78EC6EAC" w14:textId="77777777" w:rsidR="00FE03B1" w:rsidRPr="00690D4A" w:rsidRDefault="00FE03B1" w:rsidP="00FE03B1">
            <w:pPr>
              <w:pStyle w:val="StyleTabletextRight"/>
            </w:pPr>
            <w:r w:rsidRPr="00690D4A">
              <w:t>2,235</w:t>
            </w:r>
          </w:p>
        </w:tc>
        <w:tc>
          <w:tcPr>
            <w:tcW w:w="2039" w:type="dxa"/>
          </w:tcPr>
          <w:p w14:paraId="215EB2A6" w14:textId="3BEF2F96" w:rsidR="00FE03B1" w:rsidRPr="00690D4A" w:rsidRDefault="00FE03B1" w:rsidP="00FE03B1">
            <w:pPr>
              <w:pStyle w:val="Tabletext"/>
              <w:jc w:val="right"/>
            </w:pPr>
            <w:r w:rsidRPr="00C543A3">
              <w:t xml:space="preserve"> 2,243 </w:t>
            </w:r>
          </w:p>
        </w:tc>
      </w:tr>
    </w:tbl>
    <w:p w14:paraId="217A743E" w14:textId="1AC8869E" w:rsidR="005F5C52" w:rsidRDefault="005F5C52" w:rsidP="00536ADD">
      <w:pPr>
        <w:pStyle w:val="Heading1"/>
      </w:pPr>
      <w:bookmarkStart w:id="18" w:name="_Toc141344190"/>
      <w:r>
        <w:t>Children and young people in care who have had two or less placements in the past 12 months (not including time at home in parental care)</w:t>
      </w:r>
      <w:r w:rsidR="00963EBF" w:rsidRPr="00C661EF">
        <w:rPr>
          <w:rStyle w:val="FooterChar"/>
        </w:rPr>
        <w:footnoteReference w:id="4"/>
      </w:r>
      <w:bookmarkEnd w:id="18"/>
    </w:p>
    <w:p w14:paraId="71CA4480" w14:textId="77777777" w:rsidR="005F5C52" w:rsidRPr="00690D4A" w:rsidRDefault="005F5C52" w:rsidP="00690D4A">
      <w:pPr>
        <w:pStyle w:val="Tablecaption"/>
      </w:pPr>
      <w:r w:rsidRPr="00690D4A">
        <w:t>Month (snapshot).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1FFC0B3F" w14:textId="77777777" w:rsidTr="00690D4A">
        <w:trPr>
          <w:tblHeader/>
        </w:trPr>
        <w:tc>
          <w:tcPr>
            <w:tcW w:w="2038" w:type="dxa"/>
          </w:tcPr>
          <w:p w14:paraId="0BA1A809" w14:textId="77777777" w:rsidR="00FE08DE" w:rsidRPr="00690D4A" w:rsidRDefault="00FE08DE" w:rsidP="00690D4A">
            <w:pPr>
              <w:pStyle w:val="Tablecolhead"/>
            </w:pPr>
            <w:r w:rsidRPr="00690D4A">
              <w:t>Division</w:t>
            </w:r>
          </w:p>
        </w:tc>
        <w:tc>
          <w:tcPr>
            <w:tcW w:w="2039" w:type="dxa"/>
          </w:tcPr>
          <w:p w14:paraId="53B80F93" w14:textId="77777777" w:rsidR="00FE08DE" w:rsidRPr="00690D4A" w:rsidRDefault="00FE08DE" w:rsidP="00142DD2">
            <w:pPr>
              <w:pStyle w:val="Tablecolhead"/>
              <w:jc w:val="right"/>
            </w:pPr>
            <w:r w:rsidRPr="00690D4A">
              <w:t>September 2022</w:t>
            </w:r>
          </w:p>
        </w:tc>
        <w:tc>
          <w:tcPr>
            <w:tcW w:w="2039" w:type="dxa"/>
          </w:tcPr>
          <w:p w14:paraId="573A5DFB" w14:textId="77777777" w:rsidR="00FE08DE" w:rsidRPr="00690D4A" w:rsidRDefault="00FE08DE" w:rsidP="00142DD2">
            <w:pPr>
              <w:pStyle w:val="Tablecolhead"/>
              <w:jc w:val="right"/>
            </w:pPr>
            <w:r w:rsidRPr="00690D4A">
              <w:t>December 2022</w:t>
            </w:r>
          </w:p>
        </w:tc>
        <w:tc>
          <w:tcPr>
            <w:tcW w:w="2039" w:type="dxa"/>
          </w:tcPr>
          <w:p w14:paraId="75344F61" w14:textId="77777777" w:rsidR="00FE08DE" w:rsidRPr="00690D4A" w:rsidRDefault="00FE08DE" w:rsidP="00142DD2">
            <w:pPr>
              <w:pStyle w:val="Tablecolhead"/>
              <w:jc w:val="right"/>
            </w:pPr>
            <w:r w:rsidRPr="00690D4A">
              <w:t>March 2023</w:t>
            </w:r>
          </w:p>
        </w:tc>
        <w:tc>
          <w:tcPr>
            <w:tcW w:w="2039" w:type="dxa"/>
          </w:tcPr>
          <w:p w14:paraId="72D63D56" w14:textId="77777777" w:rsidR="00FE08DE" w:rsidRPr="00690D4A" w:rsidRDefault="00FE08DE" w:rsidP="00142DD2">
            <w:pPr>
              <w:pStyle w:val="Tablecolhead"/>
              <w:jc w:val="right"/>
            </w:pPr>
            <w:r w:rsidRPr="00690D4A">
              <w:t>June 2023</w:t>
            </w:r>
          </w:p>
        </w:tc>
      </w:tr>
      <w:tr w:rsidR="002937DC" w:rsidRPr="00690D4A" w14:paraId="7BE11FCF" w14:textId="77777777" w:rsidTr="002937DC">
        <w:trPr>
          <w:tblHeader/>
        </w:trPr>
        <w:tc>
          <w:tcPr>
            <w:tcW w:w="2038" w:type="dxa"/>
            <w:shd w:val="clear" w:color="auto" w:fill="DAEEF3" w:themeFill="accent5" w:themeFillTint="33"/>
          </w:tcPr>
          <w:p w14:paraId="2348453B" w14:textId="77777777" w:rsidR="002937DC" w:rsidRPr="00690D4A" w:rsidRDefault="002937DC" w:rsidP="002937DC">
            <w:pPr>
              <w:pStyle w:val="Tabletext"/>
            </w:pPr>
            <w:r w:rsidRPr="00690D4A">
              <w:t>State</w:t>
            </w:r>
          </w:p>
        </w:tc>
        <w:tc>
          <w:tcPr>
            <w:tcW w:w="2039" w:type="dxa"/>
            <w:shd w:val="clear" w:color="auto" w:fill="DAEEF3" w:themeFill="accent5" w:themeFillTint="33"/>
          </w:tcPr>
          <w:p w14:paraId="2694BE01" w14:textId="77777777" w:rsidR="002937DC" w:rsidRPr="00021CB0" w:rsidRDefault="002937DC" w:rsidP="002937DC">
            <w:pPr>
              <w:pStyle w:val="StyleTabletextRight"/>
            </w:pPr>
            <w:r w:rsidRPr="00021CB0">
              <w:t>92.5</w:t>
            </w:r>
          </w:p>
        </w:tc>
        <w:tc>
          <w:tcPr>
            <w:tcW w:w="2039" w:type="dxa"/>
            <w:shd w:val="clear" w:color="auto" w:fill="DAEEF3" w:themeFill="accent5" w:themeFillTint="33"/>
          </w:tcPr>
          <w:p w14:paraId="3349F079" w14:textId="3E46203A" w:rsidR="002937DC" w:rsidRPr="00021CB0" w:rsidRDefault="002937DC" w:rsidP="002937DC">
            <w:pPr>
              <w:pStyle w:val="StyleTabletextRight"/>
            </w:pPr>
            <w:r w:rsidRPr="00021CB0">
              <w:t>92.7</w:t>
            </w:r>
          </w:p>
        </w:tc>
        <w:tc>
          <w:tcPr>
            <w:tcW w:w="2039" w:type="dxa"/>
            <w:shd w:val="clear" w:color="auto" w:fill="DAEEF3" w:themeFill="accent5" w:themeFillTint="33"/>
          </w:tcPr>
          <w:p w14:paraId="369B3011" w14:textId="77777777" w:rsidR="002937DC" w:rsidRPr="00021CB0" w:rsidRDefault="002937DC" w:rsidP="002937DC">
            <w:pPr>
              <w:pStyle w:val="StyleTabletextRight"/>
            </w:pPr>
            <w:r w:rsidRPr="00021CB0">
              <w:t>93.0</w:t>
            </w:r>
          </w:p>
        </w:tc>
        <w:tc>
          <w:tcPr>
            <w:tcW w:w="2039" w:type="dxa"/>
            <w:shd w:val="clear" w:color="auto" w:fill="DAEEF3" w:themeFill="accent5" w:themeFillTint="33"/>
          </w:tcPr>
          <w:p w14:paraId="7A8FDB68" w14:textId="1731E054" w:rsidR="002937DC" w:rsidRPr="00021CB0" w:rsidRDefault="002937DC" w:rsidP="002937DC">
            <w:pPr>
              <w:pStyle w:val="Tabletext"/>
              <w:jc w:val="right"/>
              <w:rPr>
                <w:bCs/>
              </w:rPr>
            </w:pPr>
            <w:r w:rsidRPr="00E00EFB">
              <w:t>93.1</w:t>
            </w:r>
          </w:p>
        </w:tc>
      </w:tr>
      <w:tr w:rsidR="002937DC" w:rsidRPr="00690D4A" w14:paraId="24A0D740" w14:textId="77777777" w:rsidTr="00690D4A">
        <w:trPr>
          <w:tblHeader/>
        </w:trPr>
        <w:tc>
          <w:tcPr>
            <w:tcW w:w="2038" w:type="dxa"/>
          </w:tcPr>
          <w:p w14:paraId="068E524C" w14:textId="77777777" w:rsidR="002937DC" w:rsidRPr="00690D4A" w:rsidRDefault="002937DC" w:rsidP="002937DC">
            <w:pPr>
              <w:pStyle w:val="Tabletext"/>
            </w:pPr>
            <w:r w:rsidRPr="00690D4A">
              <w:t>North</w:t>
            </w:r>
          </w:p>
        </w:tc>
        <w:tc>
          <w:tcPr>
            <w:tcW w:w="2039" w:type="dxa"/>
          </w:tcPr>
          <w:p w14:paraId="1CF7D819" w14:textId="77777777" w:rsidR="002937DC" w:rsidRPr="00021CB0" w:rsidRDefault="002937DC" w:rsidP="002937DC">
            <w:pPr>
              <w:pStyle w:val="StyleTabletextRight"/>
            </w:pPr>
            <w:r w:rsidRPr="00021CB0">
              <w:t>93.3</w:t>
            </w:r>
          </w:p>
        </w:tc>
        <w:tc>
          <w:tcPr>
            <w:tcW w:w="2039" w:type="dxa"/>
          </w:tcPr>
          <w:p w14:paraId="6B29EA2E" w14:textId="234F31CE" w:rsidR="002937DC" w:rsidRPr="00021CB0" w:rsidRDefault="002937DC" w:rsidP="002937DC">
            <w:pPr>
              <w:pStyle w:val="StyleTabletextRight"/>
            </w:pPr>
            <w:r w:rsidRPr="00021CB0">
              <w:t>93.5</w:t>
            </w:r>
          </w:p>
        </w:tc>
        <w:tc>
          <w:tcPr>
            <w:tcW w:w="2039" w:type="dxa"/>
          </w:tcPr>
          <w:p w14:paraId="4209E245" w14:textId="77777777" w:rsidR="002937DC" w:rsidRPr="00021CB0" w:rsidRDefault="002937DC" w:rsidP="002937DC">
            <w:pPr>
              <w:pStyle w:val="StyleTabletextRight"/>
            </w:pPr>
            <w:r w:rsidRPr="00021CB0">
              <w:t>94.1</w:t>
            </w:r>
          </w:p>
        </w:tc>
        <w:tc>
          <w:tcPr>
            <w:tcW w:w="2039" w:type="dxa"/>
          </w:tcPr>
          <w:p w14:paraId="103A38C7" w14:textId="6F77B6A7" w:rsidR="002937DC" w:rsidRPr="00021CB0" w:rsidRDefault="002937DC" w:rsidP="002937DC">
            <w:pPr>
              <w:pStyle w:val="Tabletext"/>
              <w:jc w:val="right"/>
              <w:rPr>
                <w:bCs/>
              </w:rPr>
            </w:pPr>
            <w:r w:rsidRPr="00E00EFB">
              <w:t>93.8</w:t>
            </w:r>
          </w:p>
        </w:tc>
      </w:tr>
      <w:tr w:rsidR="002937DC" w:rsidRPr="00690D4A" w14:paraId="5304730C" w14:textId="77777777" w:rsidTr="00690D4A">
        <w:trPr>
          <w:tblHeader/>
        </w:trPr>
        <w:tc>
          <w:tcPr>
            <w:tcW w:w="2038" w:type="dxa"/>
          </w:tcPr>
          <w:p w14:paraId="496E8B7D" w14:textId="77777777" w:rsidR="002937DC" w:rsidRPr="00690D4A" w:rsidRDefault="002937DC" w:rsidP="002937DC">
            <w:pPr>
              <w:pStyle w:val="Tabletext"/>
            </w:pPr>
            <w:r w:rsidRPr="00690D4A">
              <w:t>South</w:t>
            </w:r>
          </w:p>
        </w:tc>
        <w:tc>
          <w:tcPr>
            <w:tcW w:w="2039" w:type="dxa"/>
          </w:tcPr>
          <w:p w14:paraId="30EA2110" w14:textId="77777777" w:rsidR="002937DC" w:rsidRPr="00021CB0" w:rsidRDefault="002937DC" w:rsidP="002937DC">
            <w:pPr>
              <w:pStyle w:val="StyleTabletextRight"/>
            </w:pPr>
            <w:r w:rsidRPr="00021CB0">
              <w:t>92.8</w:t>
            </w:r>
          </w:p>
        </w:tc>
        <w:tc>
          <w:tcPr>
            <w:tcW w:w="2039" w:type="dxa"/>
          </w:tcPr>
          <w:p w14:paraId="210336CF" w14:textId="3036726B" w:rsidR="002937DC" w:rsidRPr="00021CB0" w:rsidRDefault="002937DC" w:rsidP="002937DC">
            <w:pPr>
              <w:pStyle w:val="StyleTabletextRight"/>
            </w:pPr>
            <w:r w:rsidRPr="00021CB0">
              <w:t>92.8</w:t>
            </w:r>
          </w:p>
        </w:tc>
        <w:tc>
          <w:tcPr>
            <w:tcW w:w="2039" w:type="dxa"/>
          </w:tcPr>
          <w:p w14:paraId="135A6E6E" w14:textId="77777777" w:rsidR="002937DC" w:rsidRPr="00021CB0" w:rsidRDefault="002937DC" w:rsidP="002937DC">
            <w:pPr>
              <w:pStyle w:val="StyleTabletextRight"/>
            </w:pPr>
            <w:r w:rsidRPr="00021CB0">
              <w:t>92.4</w:t>
            </w:r>
          </w:p>
        </w:tc>
        <w:tc>
          <w:tcPr>
            <w:tcW w:w="2039" w:type="dxa"/>
          </w:tcPr>
          <w:p w14:paraId="0F4B3387" w14:textId="5EA71116" w:rsidR="002937DC" w:rsidRPr="00021CB0" w:rsidRDefault="002937DC" w:rsidP="002937DC">
            <w:pPr>
              <w:pStyle w:val="Tabletext"/>
              <w:jc w:val="right"/>
              <w:rPr>
                <w:bCs/>
              </w:rPr>
            </w:pPr>
            <w:r w:rsidRPr="00E00EFB">
              <w:t>93.1</w:t>
            </w:r>
          </w:p>
        </w:tc>
      </w:tr>
      <w:tr w:rsidR="002937DC" w:rsidRPr="00690D4A" w14:paraId="132ACD24" w14:textId="77777777" w:rsidTr="00690D4A">
        <w:trPr>
          <w:tblHeader/>
        </w:trPr>
        <w:tc>
          <w:tcPr>
            <w:tcW w:w="2038" w:type="dxa"/>
          </w:tcPr>
          <w:p w14:paraId="6CBE6541" w14:textId="77777777" w:rsidR="002937DC" w:rsidRPr="00690D4A" w:rsidRDefault="002937DC" w:rsidP="002937DC">
            <w:pPr>
              <w:pStyle w:val="Tabletext"/>
            </w:pPr>
            <w:r w:rsidRPr="00690D4A">
              <w:t>East</w:t>
            </w:r>
          </w:p>
        </w:tc>
        <w:tc>
          <w:tcPr>
            <w:tcW w:w="2039" w:type="dxa"/>
          </w:tcPr>
          <w:p w14:paraId="5F3F5CE8" w14:textId="77777777" w:rsidR="002937DC" w:rsidRPr="00021CB0" w:rsidRDefault="002937DC" w:rsidP="002937DC">
            <w:pPr>
              <w:pStyle w:val="StyleTabletextRight"/>
            </w:pPr>
            <w:r w:rsidRPr="00021CB0">
              <w:t>92.1</w:t>
            </w:r>
          </w:p>
        </w:tc>
        <w:tc>
          <w:tcPr>
            <w:tcW w:w="2039" w:type="dxa"/>
          </w:tcPr>
          <w:p w14:paraId="1CDC1882" w14:textId="33D050C2" w:rsidR="002937DC" w:rsidRPr="00021CB0" w:rsidRDefault="002937DC" w:rsidP="002937DC">
            <w:pPr>
              <w:pStyle w:val="StyleTabletextRight"/>
            </w:pPr>
            <w:r w:rsidRPr="00021CB0">
              <w:t>91.9</w:t>
            </w:r>
          </w:p>
        </w:tc>
        <w:tc>
          <w:tcPr>
            <w:tcW w:w="2039" w:type="dxa"/>
          </w:tcPr>
          <w:p w14:paraId="42A5001A" w14:textId="77777777" w:rsidR="002937DC" w:rsidRPr="00021CB0" w:rsidRDefault="002937DC" w:rsidP="002937DC">
            <w:pPr>
              <w:pStyle w:val="StyleTabletextRight"/>
            </w:pPr>
            <w:r w:rsidRPr="00021CB0">
              <w:t>93.0</w:t>
            </w:r>
          </w:p>
        </w:tc>
        <w:tc>
          <w:tcPr>
            <w:tcW w:w="2039" w:type="dxa"/>
          </w:tcPr>
          <w:p w14:paraId="4F01CD38" w14:textId="4A4772E6" w:rsidR="002937DC" w:rsidRPr="00021CB0" w:rsidRDefault="002937DC" w:rsidP="002937DC">
            <w:pPr>
              <w:pStyle w:val="Tabletext"/>
              <w:jc w:val="right"/>
              <w:rPr>
                <w:bCs/>
              </w:rPr>
            </w:pPr>
            <w:r w:rsidRPr="00E00EFB">
              <w:t>92.6</w:t>
            </w:r>
          </w:p>
        </w:tc>
      </w:tr>
      <w:tr w:rsidR="002937DC" w:rsidRPr="00690D4A" w14:paraId="4498A992" w14:textId="77777777" w:rsidTr="00690D4A">
        <w:trPr>
          <w:tblHeader/>
        </w:trPr>
        <w:tc>
          <w:tcPr>
            <w:tcW w:w="2038" w:type="dxa"/>
          </w:tcPr>
          <w:p w14:paraId="6C0C91DA" w14:textId="77777777" w:rsidR="002937DC" w:rsidRPr="00690D4A" w:rsidRDefault="002937DC" w:rsidP="002937DC">
            <w:pPr>
              <w:pStyle w:val="Tabletext"/>
            </w:pPr>
            <w:r w:rsidRPr="00690D4A">
              <w:t>West</w:t>
            </w:r>
          </w:p>
        </w:tc>
        <w:tc>
          <w:tcPr>
            <w:tcW w:w="2039" w:type="dxa"/>
          </w:tcPr>
          <w:p w14:paraId="394445BE" w14:textId="77777777" w:rsidR="002937DC" w:rsidRPr="00021CB0" w:rsidRDefault="002937DC" w:rsidP="002937DC">
            <w:pPr>
              <w:pStyle w:val="StyleTabletextRight"/>
            </w:pPr>
            <w:r w:rsidRPr="00021CB0">
              <w:t>91.8</w:t>
            </w:r>
          </w:p>
        </w:tc>
        <w:tc>
          <w:tcPr>
            <w:tcW w:w="2039" w:type="dxa"/>
          </w:tcPr>
          <w:p w14:paraId="0B345315" w14:textId="59B6ECCE" w:rsidR="002937DC" w:rsidRPr="00021CB0" w:rsidRDefault="002937DC" w:rsidP="002937DC">
            <w:pPr>
              <w:pStyle w:val="StyleTabletextRight"/>
            </w:pPr>
            <w:r w:rsidRPr="00021CB0">
              <w:t>92.5</w:t>
            </w:r>
          </w:p>
        </w:tc>
        <w:tc>
          <w:tcPr>
            <w:tcW w:w="2039" w:type="dxa"/>
          </w:tcPr>
          <w:p w14:paraId="716403EC" w14:textId="77777777" w:rsidR="002937DC" w:rsidRPr="00021CB0" w:rsidRDefault="002937DC" w:rsidP="002937DC">
            <w:pPr>
              <w:pStyle w:val="StyleTabletextRight"/>
            </w:pPr>
            <w:r w:rsidRPr="00021CB0">
              <w:t>92.8</w:t>
            </w:r>
          </w:p>
        </w:tc>
        <w:tc>
          <w:tcPr>
            <w:tcW w:w="2039" w:type="dxa"/>
          </w:tcPr>
          <w:p w14:paraId="24F776E3" w14:textId="320FCFB3" w:rsidR="002937DC" w:rsidRPr="00021CB0" w:rsidRDefault="002937DC" w:rsidP="002937DC">
            <w:pPr>
              <w:pStyle w:val="Tabletext"/>
              <w:jc w:val="right"/>
              <w:rPr>
                <w:bCs/>
              </w:rPr>
            </w:pPr>
            <w:r w:rsidRPr="00E00EFB">
              <w:t>93.0</w:t>
            </w:r>
          </w:p>
        </w:tc>
      </w:tr>
    </w:tbl>
    <w:p w14:paraId="48EFC239" w14:textId="77777777" w:rsidR="005F5C52" w:rsidRPr="00536ADD" w:rsidRDefault="005F5C52" w:rsidP="00536ADD">
      <w:pPr>
        <w:pStyle w:val="Heading1"/>
      </w:pPr>
      <w:bookmarkStart w:id="19" w:name="_Toc141344191"/>
      <w:r w:rsidRPr="00536ADD">
        <w:t>Proportion of Aboriginal children placed with relatives, kin, other Aboriginal carers or in Aboriginal residential care (including permanent care)</w:t>
      </w:r>
      <w:bookmarkEnd w:id="19"/>
    </w:p>
    <w:p w14:paraId="30FAE777" w14:textId="77777777" w:rsidR="005F5C52" w:rsidRPr="00690D4A" w:rsidRDefault="005F5C52" w:rsidP="00690D4A">
      <w:pPr>
        <w:pStyle w:val="Tablecaption"/>
      </w:pPr>
      <w:r w:rsidRPr="00690D4A">
        <w:t>Month (snapshot).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FE08DE" w14:paraId="086ED1C1" w14:textId="77777777" w:rsidTr="00690D4A">
        <w:trPr>
          <w:tblHeader/>
        </w:trPr>
        <w:tc>
          <w:tcPr>
            <w:tcW w:w="2038" w:type="dxa"/>
          </w:tcPr>
          <w:p w14:paraId="508FC6E9" w14:textId="77777777" w:rsidR="00FE08DE" w:rsidRPr="00FE08DE" w:rsidRDefault="00FE08DE" w:rsidP="00690D4A">
            <w:pPr>
              <w:pStyle w:val="Tablecolhead"/>
            </w:pPr>
            <w:r w:rsidRPr="00FE08DE">
              <w:t>Division</w:t>
            </w:r>
          </w:p>
        </w:tc>
        <w:tc>
          <w:tcPr>
            <w:tcW w:w="2039" w:type="dxa"/>
          </w:tcPr>
          <w:p w14:paraId="36CEB64E" w14:textId="77777777" w:rsidR="00FE08DE" w:rsidRPr="00FE08DE" w:rsidRDefault="00FE08DE" w:rsidP="00690D4A">
            <w:pPr>
              <w:pStyle w:val="Tablecolhead"/>
              <w:jc w:val="right"/>
            </w:pPr>
            <w:r w:rsidRPr="00FE08DE">
              <w:t>September 2022</w:t>
            </w:r>
          </w:p>
        </w:tc>
        <w:tc>
          <w:tcPr>
            <w:tcW w:w="2039" w:type="dxa"/>
          </w:tcPr>
          <w:p w14:paraId="3334AA20" w14:textId="77777777" w:rsidR="00FE08DE" w:rsidRPr="00FE08DE" w:rsidRDefault="00FE08DE" w:rsidP="00690D4A">
            <w:pPr>
              <w:pStyle w:val="Tablecolhead"/>
              <w:jc w:val="right"/>
            </w:pPr>
            <w:r w:rsidRPr="00FE08DE">
              <w:t>December 2022</w:t>
            </w:r>
          </w:p>
        </w:tc>
        <w:tc>
          <w:tcPr>
            <w:tcW w:w="2039" w:type="dxa"/>
          </w:tcPr>
          <w:p w14:paraId="066F54A9" w14:textId="77777777" w:rsidR="00FE08DE" w:rsidRPr="00FE08DE" w:rsidRDefault="00FE08DE" w:rsidP="00690D4A">
            <w:pPr>
              <w:pStyle w:val="Tablecolhead"/>
              <w:jc w:val="right"/>
            </w:pPr>
            <w:r w:rsidRPr="00FE08DE">
              <w:t>March 2023</w:t>
            </w:r>
          </w:p>
        </w:tc>
        <w:tc>
          <w:tcPr>
            <w:tcW w:w="2039" w:type="dxa"/>
          </w:tcPr>
          <w:p w14:paraId="780F925C" w14:textId="77777777" w:rsidR="00FE08DE" w:rsidRPr="00FE08DE" w:rsidRDefault="00FE08DE" w:rsidP="00690D4A">
            <w:pPr>
              <w:pStyle w:val="Tablecolhead"/>
              <w:jc w:val="right"/>
            </w:pPr>
            <w:r w:rsidRPr="00FE08DE">
              <w:t>June 2023</w:t>
            </w:r>
          </w:p>
        </w:tc>
      </w:tr>
      <w:tr w:rsidR="00823FB3" w:rsidRPr="00FE08DE" w14:paraId="087D74D3" w14:textId="77777777" w:rsidTr="00823FB3">
        <w:trPr>
          <w:tblHeader/>
        </w:trPr>
        <w:tc>
          <w:tcPr>
            <w:tcW w:w="2038" w:type="dxa"/>
            <w:shd w:val="clear" w:color="auto" w:fill="DAEEF3" w:themeFill="accent5" w:themeFillTint="33"/>
          </w:tcPr>
          <w:p w14:paraId="1E71962F" w14:textId="77777777" w:rsidR="00823FB3" w:rsidRPr="00FE08DE" w:rsidRDefault="00823FB3" w:rsidP="00823FB3">
            <w:pPr>
              <w:pStyle w:val="Tabletext"/>
            </w:pPr>
            <w:r w:rsidRPr="00FE08DE">
              <w:t>State</w:t>
            </w:r>
          </w:p>
        </w:tc>
        <w:tc>
          <w:tcPr>
            <w:tcW w:w="2039" w:type="dxa"/>
            <w:shd w:val="clear" w:color="auto" w:fill="DAEEF3" w:themeFill="accent5" w:themeFillTint="33"/>
          </w:tcPr>
          <w:p w14:paraId="069B3DFA" w14:textId="77777777" w:rsidR="00823FB3" w:rsidRPr="00FE08DE" w:rsidRDefault="00823FB3" w:rsidP="00823FB3">
            <w:pPr>
              <w:pStyle w:val="StyleTabletextRight"/>
            </w:pPr>
            <w:r w:rsidRPr="00FE08DE">
              <w:t>73.3</w:t>
            </w:r>
          </w:p>
        </w:tc>
        <w:tc>
          <w:tcPr>
            <w:tcW w:w="2039" w:type="dxa"/>
            <w:shd w:val="clear" w:color="auto" w:fill="DAEEF3" w:themeFill="accent5" w:themeFillTint="33"/>
          </w:tcPr>
          <w:p w14:paraId="0CA55C71" w14:textId="59A77BDE" w:rsidR="00823FB3" w:rsidRPr="00FE08DE" w:rsidRDefault="00823FB3" w:rsidP="00823FB3">
            <w:pPr>
              <w:pStyle w:val="StyleTabletextRight"/>
            </w:pPr>
            <w:r w:rsidRPr="00FE08DE">
              <w:t>72.5</w:t>
            </w:r>
          </w:p>
        </w:tc>
        <w:tc>
          <w:tcPr>
            <w:tcW w:w="2039" w:type="dxa"/>
            <w:shd w:val="clear" w:color="auto" w:fill="DAEEF3" w:themeFill="accent5" w:themeFillTint="33"/>
          </w:tcPr>
          <w:p w14:paraId="3ED80C81" w14:textId="77777777" w:rsidR="00823FB3" w:rsidRPr="00FE08DE" w:rsidRDefault="00823FB3" w:rsidP="00823FB3">
            <w:pPr>
              <w:pStyle w:val="StyleTabletextRight"/>
            </w:pPr>
            <w:r w:rsidRPr="00FE08DE">
              <w:t>72.3</w:t>
            </w:r>
          </w:p>
        </w:tc>
        <w:tc>
          <w:tcPr>
            <w:tcW w:w="2039" w:type="dxa"/>
            <w:shd w:val="clear" w:color="auto" w:fill="DAEEF3" w:themeFill="accent5" w:themeFillTint="33"/>
          </w:tcPr>
          <w:p w14:paraId="01648636" w14:textId="64328EE9" w:rsidR="00823FB3" w:rsidRPr="00FE08DE" w:rsidRDefault="00823FB3" w:rsidP="00823FB3">
            <w:pPr>
              <w:pStyle w:val="Tabletext"/>
              <w:jc w:val="right"/>
            </w:pPr>
            <w:r w:rsidRPr="00475AB6">
              <w:t>72.9</w:t>
            </w:r>
          </w:p>
        </w:tc>
      </w:tr>
      <w:tr w:rsidR="00823FB3" w:rsidRPr="00FE08DE" w14:paraId="4C1B8DD3" w14:textId="77777777" w:rsidTr="00690D4A">
        <w:trPr>
          <w:tblHeader/>
        </w:trPr>
        <w:tc>
          <w:tcPr>
            <w:tcW w:w="2038" w:type="dxa"/>
          </w:tcPr>
          <w:p w14:paraId="4FF786C3" w14:textId="77777777" w:rsidR="00823FB3" w:rsidRPr="00FE08DE" w:rsidRDefault="00823FB3" w:rsidP="00823FB3">
            <w:pPr>
              <w:pStyle w:val="Tabletext"/>
            </w:pPr>
            <w:r w:rsidRPr="00FE08DE">
              <w:t>North</w:t>
            </w:r>
          </w:p>
        </w:tc>
        <w:tc>
          <w:tcPr>
            <w:tcW w:w="2039" w:type="dxa"/>
          </w:tcPr>
          <w:p w14:paraId="65F9D073" w14:textId="77777777" w:rsidR="00823FB3" w:rsidRPr="00FE08DE" w:rsidRDefault="00823FB3" w:rsidP="00823FB3">
            <w:pPr>
              <w:pStyle w:val="StyleTabletextRight"/>
            </w:pPr>
            <w:r w:rsidRPr="00FE08DE">
              <w:t>72.5</w:t>
            </w:r>
          </w:p>
        </w:tc>
        <w:tc>
          <w:tcPr>
            <w:tcW w:w="2039" w:type="dxa"/>
          </w:tcPr>
          <w:p w14:paraId="3BBEB99F" w14:textId="0947D61C" w:rsidR="00823FB3" w:rsidRPr="00FE08DE" w:rsidRDefault="00823FB3" w:rsidP="00823FB3">
            <w:pPr>
              <w:pStyle w:val="StyleTabletextRight"/>
            </w:pPr>
            <w:r w:rsidRPr="00FE08DE">
              <w:t>70.4</w:t>
            </w:r>
          </w:p>
        </w:tc>
        <w:tc>
          <w:tcPr>
            <w:tcW w:w="2039" w:type="dxa"/>
          </w:tcPr>
          <w:p w14:paraId="1EE3ED8B" w14:textId="77777777" w:rsidR="00823FB3" w:rsidRPr="00FE08DE" w:rsidRDefault="00823FB3" w:rsidP="00823FB3">
            <w:pPr>
              <w:pStyle w:val="StyleTabletextRight"/>
            </w:pPr>
            <w:r w:rsidRPr="00FE08DE">
              <w:t>71.5</w:t>
            </w:r>
          </w:p>
        </w:tc>
        <w:tc>
          <w:tcPr>
            <w:tcW w:w="2039" w:type="dxa"/>
          </w:tcPr>
          <w:p w14:paraId="291CACBD" w14:textId="02A16DF8" w:rsidR="00823FB3" w:rsidRPr="00FE08DE" w:rsidRDefault="00823FB3" w:rsidP="00823FB3">
            <w:pPr>
              <w:pStyle w:val="Tabletext"/>
              <w:jc w:val="right"/>
            </w:pPr>
            <w:r w:rsidRPr="00475AB6">
              <w:t>72.1</w:t>
            </w:r>
          </w:p>
        </w:tc>
      </w:tr>
      <w:tr w:rsidR="00823FB3" w:rsidRPr="00FE08DE" w14:paraId="751345E8" w14:textId="77777777" w:rsidTr="00690D4A">
        <w:trPr>
          <w:tblHeader/>
        </w:trPr>
        <w:tc>
          <w:tcPr>
            <w:tcW w:w="2038" w:type="dxa"/>
          </w:tcPr>
          <w:p w14:paraId="581CB636" w14:textId="77777777" w:rsidR="00823FB3" w:rsidRPr="00FE08DE" w:rsidRDefault="00823FB3" w:rsidP="00823FB3">
            <w:pPr>
              <w:pStyle w:val="Tabletext"/>
            </w:pPr>
            <w:r w:rsidRPr="00FE08DE">
              <w:t>South</w:t>
            </w:r>
          </w:p>
        </w:tc>
        <w:tc>
          <w:tcPr>
            <w:tcW w:w="2039" w:type="dxa"/>
          </w:tcPr>
          <w:p w14:paraId="6087184C" w14:textId="77777777" w:rsidR="00823FB3" w:rsidRPr="00FE08DE" w:rsidRDefault="00823FB3" w:rsidP="00823FB3">
            <w:pPr>
              <w:pStyle w:val="StyleTabletextRight"/>
            </w:pPr>
            <w:r w:rsidRPr="00FE08DE">
              <w:t>72.2</w:t>
            </w:r>
          </w:p>
        </w:tc>
        <w:tc>
          <w:tcPr>
            <w:tcW w:w="2039" w:type="dxa"/>
          </w:tcPr>
          <w:p w14:paraId="39BBFDEA" w14:textId="23ED9736" w:rsidR="00823FB3" w:rsidRPr="00FE08DE" w:rsidRDefault="00823FB3" w:rsidP="00823FB3">
            <w:pPr>
              <w:pStyle w:val="StyleTabletextRight"/>
            </w:pPr>
            <w:r w:rsidRPr="00FE08DE">
              <w:t>71.8</w:t>
            </w:r>
          </w:p>
        </w:tc>
        <w:tc>
          <w:tcPr>
            <w:tcW w:w="2039" w:type="dxa"/>
          </w:tcPr>
          <w:p w14:paraId="7C08DFD5" w14:textId="77777777" w:rsidR="00823FB3" w:rsidRPr="00FE08DE" w:rsidRDefault="00823FB3" w:rsidP="00823FB3">
            <w:pPr>
              <w:pStyle w:val="StyleTabletextRight"/>
            </w:pPr>
            <w:r w:rsidRPr="00FE08DE">
              <w:t>69.0</w:t>
            </w:r>
          </w:p>
        </w:tc>
        <w:tc>
          <w:tcPr>
            <w:tcW w:w="2039" w:type="dxa"/>
          </w:tcPr>
          <w:p w14:paraId="7B7FE8CF" w14:textId="06047719" w:rsidR="00823FB3" w:rsidRPr="00FE08DE" w:rsidRDefault="00823FB3" w:rsidP="00823FB3">
            <w:pPr>
              <w:pStyle w:val="Tabletext"/>
              <w:jc w:val="right"/>
            </w:pPr>
            <w:r w:rsidRPr="00475AB6">
              <w:t>70.2</w:t>
            </w:r>
          </w:p>
        </w:tc>
      </w:tr>
      <w:tr w:rsidR="00823FB3" w:rsidRPr="00FE08DE" w14:paraId="525A6214" w14:textId="77777777" w:rsidTr="00690D4A">
        <w:trPr>
          <w:tblHeader/>
        </w:trPr>
        <w:tc>
          <w:tcPr>
            <w:tcW w:w="2038" w:type="dxa"/>
          </w:tcPr>
          <w:p w14:paraId="7F6DC718" w14:textId="77777777" w:rsidR="00823FB3" w:rsidRPr="00FE08DE" w:rsidRDefault="00823FB3" w:rsidP="00823FB3">
            <w:pPr>
              <w:pStyle w:val="Tabletext"/>
            </w:pPr>
            <w:r w:rsidRPr="00FE08DE">
              <w:t>East</w:t>
            </w:r>
          </w:p>
        </w:tc>
        <w:tc>
          <w:tcPr>
            <w:tcW w:w="2039" w:type="dxa"/>
          </w:tcPr>
          <w:p w14:paraId="317BE0A0" w14:textId="77777777" w:rsidR="00823FB3" w:rsidRPr="00FE08DE" w:rsidRDefault="00823FB3" w:rsidP="00823FB3">
            <w:pPr>
              <w:pStyle w:val="StyleTabletextRight"/>
            </w:pPr>
            <w:r w:rsidRPr="00FE08DE">
              <w:t>78.6</w:t>
            </w:r>
          </w:p>
        </w:tc>
        <w:tc>
          <w:tcPr>
            <w:tcW w:w="2039" w:type="dxa"/>
          </w:tcPr>
          <w:p w14:paraId="78652C2B" w14:textId="6CCEBE71" w:rsidR="00823FB3" w:rsidRPr="00FE08DE" w:rsidRDefault="00823FB3" w:rsidP="00823FB3">
            <w:pPr>
              <w:pStyle w:val="StyleTabletextRight"/>
            </w:pPr>
            <w:r w:rsidRPr="00FE08DE">
              <w:t>76.9</w:t>
            </w:r>
          </w:p>
        </w:tc>
        <w:tc>
          <w:tcPr>
            <w:tcW w:w="2039" w:type="dxa"/>
          </w:tcPr>
          <w:p w14:paraId="5C5C69DA" w14:textId="77777777" w:rsidR="00823FB3" w:rsidRPr="00FE08DE" w:rsidRDefault="00823FB3" w:rsidP="00823FB3">
            <w:pPr>
              <w:pStyle w:val="StyleTabletextRight"/>
            </w:pPr>
            <w:r w:rsidRPr="00FE08DE">
              <w:t>76.9</w:t>
            </w:r>
          </w:p>
        </w:tc>
        <w:tc>
          <w:tcPr>
            <w:tcW w:w="2039" w:type="dxa"/>
          </w:tcPr>
          <w:p w14:paraId="6055B054" w14:textId="7459AFCE" w:rsidR="00823FB3" w:rsidRPr="00FE08DE" w:rsidRDefault="00823FB3" w:rsidP="00823FB3">
            <w:pPr>
              <w:pStyle w:val="Tabletext"/>
              <w:jc w:val="right"/>
            </w:pPr>
            <w:r w:rsidRPr="00475AB6">
              <w:t>79.3</w:t>
            </w:r>
          </w:p>
        </w:tc>
      </w:tr>
      <w:tr w:rsidR="00823FB3" w:rsidRPr="00FE08DE" w14:paraId="4714A4AF" w14:textId="77777777" w:rsidTr="00690D4A">
        <w:trPr>
          <w:tblHeader/>
        </w:trPr>
        <w:tc>
          <w:tcPr>
            <w:tcW w:w="2038" w:type="dxa"/>
          </w:tcPr>
          <w:p w14:paraId="707171C1" w14:textId="77777777" w:rsidR="00823FB3" w:rsidRPr="00FE08DE" w:rsidRDefault="00823FB3" w:rsidP="00823FB3">
            <w:pPr>
              <w:pStyle w:val="Tabletext"/>
            </w:pPr>
            <w:r w:rsidRPr="00FE08DE">
              <w:t>West</w:t>
            </w:r>
          </w:p>
        </w:tc>
        <w:tc>
          <w:tcPr>
            <w:tcW w:w="2039" w:type="dxa"/>
          </w:tcPr>
          <w:p w14:paraId="4B25E6CF" w14:textId="77777777" w:rsidR="00823FB3" w:rsidRPr="00FE08DE" w:rsidRDefault="00823FB3" w:rsidP="00823FB3">
            <w:pPr>
              <w:pStyle w:val="StyleTabletextRight"/>
            </w:pPr>
            <w:r w:rsidRPr="00FE08DE">
              <w:t>71.9</w:t>
            </w:r>
          </w:p>
        </w:tc>
        <w:tc>
          <w:tcPr>
            <w:tcW w:w="2039" w:type="dxa"/>
          </w:tcPr>
          <w:p w14:paraId="08146A0B" w14:textId="526CEE5C" w:rsidR="00823FB3" w:rsidRPr="00FE08DE" w:rsidRDefault="00823FB3" w:rsidP="00823FB3">
            <w:pPr>
              <w:pStyle w:val="StyleTabletextRight"/>
            </w:pPr>
            <w:r w:rsidRPr="00FE08DE">
              <w:t>72.7</w:t>
            </w:r>
          </w:p>
        </w:tc>
        <w:tc>
          <w:tcPr>
            <w:tcW w:w="2039" w:type="dxa"/>
          </w:tcPr>
          <w:p w14:paraId="1234EF7B" w14:textId="77777777" w:rsidR="00823FB3" w:rsidRPr="00FE08DE" w:rsidRDefault="00823FB3" w:rsidP="00823FB3">
            <w:pPr>
              <w:pStyle w:val="StyleTabletextRight"/>
            </w:pPr>
            <w:r w:rsidRPr="00FE08DE">
              <w:t>73.5</w:t>
            </w:r>
          </w:p>
        </w:tc>
        <w:tc>
          <w:tcPr>
            <w:tcW w:w="2039" w:type="dxa"/>
          </w:tcPr>
          <w:p w14:paraId="13D4001A" w14:textId="2FBA6BBC" w:rsidR="00823FB3" w:rsidRPr="00FE08DE" w:rsidRDefault="00823FB3" w:rsidP="00823FB3">
            <w:pPr>
              <w:pStyle w:val="Tabletext"/>
              <w:jc w:val="right"/>
            </w:pPr>
            <w:r w:rsidRPr="00475AB6">
              <w:t>72.4</w:t>
            </w:r>
          </w:p>
        </w:tc>
      </w:tr>
    </w:tbl>
    <w:p w14:paraId="5F7B04BD" w14:textId="288589A6" w:rsidR="005F5C52" w:rsidRPr="00536ADD" w:rsidRDefault="005F5C52" w:rsidP="00536ADD">
      <w:pPr>
        <w:pStyle w:val="Heading1"/>
      </w:pPr>
      <w:bookmarkStart w:id="20" w:name="_Toc141344192"/>
      <w:r w:rsidRPr="002A75A4">
        <w:lastRenderedPageBreak/>
        <w:t>Organisations that have successfully completed a certification review (family and community services)</w:t>
      </w:r>
      <w:bookmarkEnd w:id="20"/>
    </w:p>
    <w:p w14:paraId="2A531228" w14:textId="4FEC5136" w:rsidR="00690D4A" w:rsidRDefault="00690D4A" w:rsidP="005F5C52">
      <w:pPr>
        <w:pStyle w:val="Body"/>
      </w:pPr>
      <w:r>
        <w:t>This data is only available at state level.</w:t>
      </w:r>
    </w:p>
    <w:p w14:paraId="0D71AC6B" w14:textId="37F465CD" w:rsidR="005F5C52" w:rsidRPr="00690D4A" w:rsidRDefault="005F5C52" w:rsidP="00690D4A">
      <w:pPr>
        <w:pStyle w:val="Tablecaption"/>
      </w:pPr>
      <w:r w:rsidRPr="00690D4A">
        <w:t>Financial year to date (YTD). Unit of measure: per cent.</w:t>
      </w:r>
    </w:p>
    <w:tbl>
      <w:tblPr>
        <w:tblStyle w:val="TableGrid"/>
        <w:tblW w:w="0" w:type="auto"/>
        <w:tblLook w:val="04A0" w:firstRow="1" w:lastRow="0" w:firstColumn="1" w:lastColumn="0" w:noHBand="0" w:noVBand="1"/>
      </w:tblPr>
      <w:tblGrid>
        <w:gridCol w:w="2038"/>
        <w:gridCol w:w="2039"/>
        <w:gridCol w:w="2039"/>
        <w:gridCol w:w="2039"/>
        <w:gridCol w:w="2039"/>
      </w:tblGrid>
      <w:tr w:rsidR="00FE08DE" w:rsidRPr="00690D4A" w14:paraId="2E892A7E" w14:textId="77777777" w:rsidTr="008E0ABD">
        <w:trPr>
          <w:tblHeader/>
        </w:trPr>
        <w:tc>
          <w:tcPr>
            <w:tcW w:w="2038" w:type="dxa"/>
          </w:tcPr>
          <w:p w14:paraId="1BD25BE4" w14:textId="77777777" w:rsidR="00FE08DE" w:rsidRPr="00690D4A" w:rsidRDefault="00FE08DE" w:rsidP="00690D4A">
            <w:pPr>
              <w:pStyle w:val="Tablecolhead"/>
            </w:pPr>
            <w:r w:rsidRPr="00690D4A">
              <w:t>Division</w:t>
            </w:r>
          </w:p>
        </w:tc>
        <w:tc>
          <w:tcPr>
            <w:tcW w:w="2039" w:type="dxa"/>
          </w:tcPr>
          <w:p w14:paraId="701C06C7" w14:textId="77777777" w:rsidR="00FE08DE" w:rsidRPr="00690D4A" w:rsidRDefault="00FE08DE" w:rsidP="00690D4A">
            <w:pPr>
              <w:pStyle w:val="Tablecolhead"/>
              <w:jc w:val="right"/>
            </w:pPr>
            <w:r w:rsidRPr="00690D4A">
              <w:t>September 2022</w:t>
            </w:r>
          </w:p>
        </w:tc>
        <w:tc>
          <w:tcPr>
            <w:tcW w:w="2039" w:type="dxa"/>
          </w:tcPr>
          <w:p w14:paraId="7E3CEF09" w14:textId="77777777" w:rsidR="00FE08DE" w:rsidRPr="00690D4A" w:rsidRDefault="00FE08DE" w:rsidP="00690D4A">
            <w:pPr>
              <w:pStyle w:val="Tablecolhead"/>
              <w:jc w:val="right"/>
            </w:pPr>
            <w:r w:rsidRPr="00690D4A">
              <w:t>December 2022</w:t>
            </w:r>
          </w:p>
        </w:tc>
        <w:tc>
          <w:tcPr>
            <w:tcW w:w="2039" w:type="dxa"/>
          </w:tcPr>
          <w:p w14:paraId="02AB1818" w14:textId="77777777" w:rsidR="00FE08DE" w:rsidRPr="00690D4A" w:rsidRDefault="00FE08DE" w:rsidP="00690D4A">
            <w:pPr>
              <w:pStyle w:val="Tablecolhead"/>
              <w:jc w:val="right"/>
            </w:pPr>
            <w:r w:rsidRPr="00690D4A">
              <w:t>March 2023</w:t>
            </w:r>
          </w:p>
        </w:tc>
        <w:tc>
          <w:tcPr>
            <w:tcW w:w="2039" w:type="dxa"/>
          </w:tcPr>
          <w:p w14:paraId="78C812E1" w14:textId="77777777" w:rsidR="00FE08DE" w:rsidRPr="00690D4A" w:rsidRDefault="00FE08DE" w:rsidP="00690D4A">
            <w:pPr>
              <w:pStyle w:val="Tablecolhead"/>
              <w:jc w:val="right"/>
            </w:pPr>
            <w:r w:rsidRPr="00690D4A">
              <w:t>June 2023</w:t>
            </w:r>
          </w:p>
        </w:tc>
      </w:tr>
      <w:tr w:rsidR="00FE08DE" w:rsidRPr="00690D4A" w14:paraId="29ACD79F" w14:textId="77777777" w:rsidTr="00220407">
        <w:trPr>
          <w:tblHeader/>
        </w:trPr>
        <w:tc>
          <w:tcPr>
            <w:tcW w:w="2038" w:type="dxa"/>
            <w:shd w:val="clear" w:color="auto" w:fill="DAEEF3" w:themeFill="accent5" w:themeFillTint="33"/>
          </w:tcPr>
          <w:p w14:paraId="5F2FEBC7" w14:textId="77777777" w:rsidR="00FE08DE" w:rsidRPr="00690D4A" w:rsidRDefault="00FE08DE" w:rsidP="00690D4A">
            <w:pPr>
              <w:pStyle w:val="Tabletext"/>
            </w:pPr>
            <w:r w:rsidRPr="00690D4A">
              <w:t>State</w:t>
            </w:r>
          </w:p>
        </w:tc>
        <w:tc>
          <w:tcPr>
            <w:tcW w:w="2039" w:type="dxa"/>
            <w:shd w:val="clear" w:color="auto" w:fill="DAEEF3" w:themeFill="accent5" w:themeFillTint="33"/>
          </w:tcPr>
          <w:p w14:paraId="4C75207C" w14:textId="77777777" w:rsidR="00FE08DE" w:rsidRPr="00690D4A" w:rsidRDefault="00FE08DE" w:rsidP="00655339">
            <w:pPr>
              <w:pStyle w:val="StyleTabletextRight"/>
            </w:pPr>
            <w:r w:rsidRPr="00690D4A">
              <w:t>83.3</w:t>
            </w:r>
          </w:p>
        </w:tc>
        <w:tc>
          <w:tcPr>
            <w:tcW w:w="2039" w:type="dxa"/>
            <w:shd w:val="clear" w:color="auto" w:fill="DAEEF3" w:themeFill="accent5" w:themeFillTint="33"/>
          </w:tcPr>
          <w:p w14:paraId="446C242A" w14:textId="77777777" w:rsidR="00FE08DE" w:rsidRPr="00690D4A" w:rsidRDefault="00FE08DE" w:rsidP="00655339">
            <w:pPr>
              <w:pStyle w:val="StyleTabletextRight"/>
            </w:pPr>
            <w:r w:rsidRPr="00690D4A">
              <w:t>92.9</w:t>
            </w:r>
          </w:p>
        </w:tc>
        <w:tc>
          <w:tcPr>
            <w:tcW w:w="2039" w:type="dxa"/>
            <w:shd w:val="clear" w:color="auto" w:fill="DAEEF3" w:themeFill="accent5" w:themeFillTint="33"/>
          </w:tcPr>
          <w:p w14:paraId="03B4476A" w14:textId="3825009D" w:rsidR="00FE08DE" w:rsidRPr="00690D4A" w:rsidRDefault="00184C70" w:rsidP="00655339">
            <w:pPr>
              <w:pStyle w:val="StyleTabletextRight"/>
            </w:pPr>
            <w:r>
              <w:t>95.0</w:t>
            </w:r>
          </w:p>
        </w:tc>
        <w:tc>
          <w:tcPr>
            <w:tcW w:w="2039" w:type="dxa"/>
            <w:shd w:val="clear" w:color="auto" w:fill="DAEEF3" w:themeFill="accent5" w:themeFillTint="33"/>
          </w:tcPr>
          <w:p w14:paraId="36244D0E" w14:textId="09815D52" w:rsidR="00FE08DE" w:rsidRPr="00690D4A" w:rsidRDefault="00B66ED6" w:rsidP="00690D4A">
            <w:pPr>
              <w:pStyle w:val="Tabletext"/>
              <w:jc w:val="right"/>
            </w:pPr>
            <w:r>
              <w:t>96.3</w:t>
            </w:r>
          </w:p>
        </w:tc>
      </w:tr>
    </w:tbl>
    <w:p w14:paraId="63863EAD" w14:textId="044FAB75" w:rsidR="005F5C52" w:rsidRPr="00536ADD" w:rsidRDefault="005F5C52" w:rsidP="00536ADD">
      <w:pPr>
        <w:pStyle w:val="Heading1"/>
      </w:pPr>
      <w:bookmarkStart w:id="21" w:name="_Toc141344193"/>
      <w:r w:rsidRPr="002A75A4">
        <w:t>Organisations that have successfully completed a certification review (specialist support and placement services)</w:t>
      </w:r>
      <w:bookmarkEnd w:id="21"/>
    </w:p>
    <w:p w14:paraId="2714176C" w14:textId="1A30E5F3" w:rsidR="00BD43C7" w:rsidRDefault="00BD43C7" w:rsidP="00BD43C7">
      <w:pPr>
        <w:pStyle w:val="Body"/>
      </w:pPr>
      <w:r>
        <w:t>This data is only available at state level.</w:t>
      </w:r>
    </w:p>
    <w:p w14:paraId="4B98CA37" w14:textId="7191BC5F" w:rsidR="00690D4A" w:rsidRPr="00690D4A" w:rsidRDefault="00690D4A" w:rsidP="00690D4A">
      <w:pPr>
        <w:pStyle w:val="Tablecaption"/>
      </w:pPr>
      <w:r w:rsidRPr="00690D4A">
        <w:t xml:space="preserve">Financial year to date (YTD). Unit of measure: per cent. </w:t>
      </w:r>
    </w:p>
    <w:tbl>
      <w:tblPr>
        <w:tblStyle w:val="TableGrid"/>
        <w:tblW w:w="0" w:type="auto"/>
        <w:tblLook w:val="04A0" w:firstRow="1" w:lastRow="0" w:firstColumn="1" w:lastColumn="0" w:noHBand="0" w:noVBand="1"/>
      </w:tblPr>
      <w:tblGrid>
        <w:gridCol w:w="2038"/>
        <w:gridCol w:w="2039"/>
        <w:gridCol w:w="2039"/>
        <w:gridCol w:w="2039"/>
        <w:gridCol w:w="2039"/>
      </w:tblGrid>
      <w:tr w:rsidR="00BD43C7" w:rsidRPr="00690D4A" w14:paraId="21FA4C26" w14:textId="77777777" w:rsidTr="008E0ABD">
        <w:trPr>
          <w:tblHeader/>
        </w:trPr>
        <w:tc>
          <w:tcPr>
            <w:tcW w:w="2038" w:type="dxa"/>
          </w:tcPr>
          <w:p w14:paraId="05A64337" w14:textId="77777777" w:rsidR="00BD43C7" w:rsidRPr="00690D4A" w:rsidRDefault="00BD43C7" w:rsidP="00690D4A">
            <w:pPr>
              <w:pStyle w:val="Tablecolhead"/>
            </w:pPr>
            <w:r w:rsidRPr="00690D4A">
              <w:t>Division</w:t>
            </w:r>
          </w:p>
        </w:tc>
        <w:tc>
          <w:tcPr>
            <w:tcW w:w="2039" w:type="dxa"/>
          </w:tcPr>
          <w:p w14:paraId="566D4635" w14:textId="77777777" w:rsidR="00BD43C7" w:rsidRPr="00690D4A" w:rsidRDefault="00BD43C7" w:rsidP="00142DD2">
            <w:pPr>
              <w:pStyle w:val="Tablecolhead"/>
              <w:jc w:val="right"/>
            </w:pPr>
            <w:r w:rsidRPr="00690D4A">
              <w:t>September 2022</w:t>
            </w:r>
          </w:p>
        </w:tc>
        <w:tc>
          <w:tcPr>
            <w:tcW w:w="2039" w:type="dxa"/>
          </w:tcPr>
          <w:p w14:paraId="392B460E" w14:textId="77777777" w:rsidR="00BD43C7" w:rsidRPr="00690D4A" w:rsidRDefault="00BD43C7" w:rsidP="00142DD2">
            <w:pPr>
              <w:pStyle w:val="Tablecolhead"/>
              <w:jc w:val="right"/>
            </w:pPr>
            <w:r w:rsidRPr="00690D4A">
              <w:t>December 2022</w:t>
            </w:r>
          </w:p>
        </w:tc>
        <w:tc>
          <w:tcPr>
            <w:tcW w:w="2039" w:type="dxa"/>
          </w:tcPr>
          <w:p w14:paraId="4C2B6904" w14:textId="77777777" w:rsidR="00BD43C7" w:rsidRPr="00690D4A" w:rsidRDefault="00BD43C7" w:rsidP="00142DD2">
            <w:pPr>
              <w:pStyle w:val="Tablecolhead"/>
              <w:jc w:val="right"/>
            </w:pPr>
            <w:r w:rsidRPr="00690D4A">
              <w:t>March 2023</w:t>
            </w:r>
          </w:p>
        </w:tc>
        <w:tc>
          <w:tcPr>
            <w:tcW w:w="2039" w:type="dxa"/>
          </w:tcPr>
          <w:p w14:paraId="3868A7CE" w14:textId="77777777" w:rsidR="00BD43C7" w:rsidRPr="00690D4A" w:rsidRDefault="00BD43C7" w:rsidP="00142DD2">
            <w:pPr>
              <w:pStyle w:val="Tablecolhead"/>
              <w:jc w:val="right"/>
            </w:pPr>
            <w:r w:rsidRPr="00690D4A">
              <w:t>June 2023</w:t>
            </w:r>
          </w:p>
        </w:tc>
      </w:tr>
      <w:tr w:rsidR="00BD43C7" w:rsidRPr="00690D4A" w14:paraId="1BB0A3A5" w14:textId="77777777" w:rsidTr="00220407">
        <w:trPr>
          <w:tblHeader/>
        </w:trPr>
        <w:tc>
          <w:tcPr>
            <w:tcW w:w="2038" w:type="dxa"/>
            <w:shd w:val="clear" w:color="auto" w:fill="DAEEF3" w:themeFill="accent5" w:themeFillTint="33"/>
          </w:tcPr>
          <w:p w14:paraId="1A481E21" w14:textId="77777777" w:rsidR="00BD43C7" w:rsidRPr="00690D4A" w:rsidRDefault="00BD43C7" w:rsidP="00690D4A">
            <w:pPr>
              <w:pStyle w:val="Tabletext"/>
            </w:pPr>
            <w:r w:rsidRPr="00690D4A">
              <w:t>State</w:t>
            </w:r>
          </w:p>
        </w:tc>
        <w:tc>
          <w:tcPr>
            <w:tcW w:w="2039" w:type="dxa"/>
            <w:shd w:val="clear" w:color="auto" w:fill="DAEEF3" w:themeFill="accent5" w:themeFillTint="33"/>
          </w:tcPr>
          <w:p w14:paraId="5BB8A709" w14:textId="77777777" w:rsidR="00BD43C7" w:rsidRPr="007006AC" w:rsidRDefault="00BD43C7" w:rsidP="00142DD2">
            <w:pPr>
              <w:pStyle w:val="StyleTabletextRight"/>
            </w:pPr>
            <w:r w:rsidRPr="007006AC">
              <w:t>100</w:t>
            </w:r>
          </w:p>
        </w:tc>
        <w:tc>
          <w:tcPr>
            <w:tcW w:w="2039" w:type="dxa"/>
            <w:shd w:val="clear" w:color="auto" w:fill="DAEEF3" w:themeFill="accent5" w:themeFillTint="33"/>
          </w:tcPr>
          <w:p w14:paraId="55ECF64F" w14:textId="77777777" w:rsidR="00BD43C7" w:rsidRPr="007006AC" w:rsidRDefault="00BD43C7" w:rsidP="00142DD2">
            <w:pPr>
              <w:pStyle w:val="StyleTabletextRight"/>
            </w:pPr>
            <w:r w:rsidRPr="007006AC">
              <w:t>100</w:t>
            </w:r>
          </w:p>
        </w:tc>
        <w:tc>
          <w:tcPr>
            <w:tcW w:w="2039" w:type="dxa"/>
            <w:shd w:val="clear" w:color="auto" w:fill="DAEEF3" w:themeFill="accent5" w:themeFillTint="33"/>
          </w:tcPr>
          <w:p w14:paraId="7EB22011" w14:textId="1A7B9BF5" w:rsidR="00BD43C7" w:rsidRPr="007006AC" w:rsidRDefault="002A75A4" w:rsidP="00142DD2">
            <w:pPr>
              <w:pStyle w:val="StyleTabletextRight"/>
            </w:pPr>
            <w:r>
              <w:t>100</w:t>
            </w:r>
          </w:p>
        </w:tc>
        <w:tc>
          <w:tcPr>
            <w:tcW w:w="2039" w:type="dxa"/>
            <w:shd w:val="clear" w:color="auto" w:fill="DAEEF3" w:themeFill="accent5" w:themeFillTint="33"/>
          </w:tcPr>
          <w:p w14:paraId="1285378C" w14:textId="5DF56E41" w:rsidR="00BD43C7" w:rsidRPr="007006AC" w:rsidRDefault="002A75A4" w:rsidP="00142DD2">
            <w:pPr>
              <w:pStyle w:val="Tabletext"/>
              <w:jc w:val="right"/>
              <w:rPr>
                <w:bCs/>
              </w:rPr>
            </w:pPr>
            <w:r>
              <w:rPr>
                <w:bCs/>
              </w:rPr>
              <w:t>100</w:t>
            </w:r>
          </w:p>
        </w:tc>
      </w:tr>
    </w:tbl>
    <w:p w14:paraId="2EDACCAB" w14:textId="77777777" w:rsidR="003B1BDC" w:rsidRPr="003B1BDC" w:rsidRDefault="003B1BDC" w:rsidP="003B1BDC">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96A6191" w14:textId="77777777" w:rsidTr="00641724">
        <w:tc>
          <w:tcPr>
            <w:tcW w:w="10194" w:type="dxa"/>
          </w:tcPr>
          <w:p w14:paraId="7A511F0F" w14:textId="2CEB401D" w:rsidR="00E15179" w:rsidRDefault="00E15179" w:rsidP="00E33237">
            <w:pPr>
              <w:pStyle w:val="Imprint"/>
              <w:rPr>
                <w:sz w:val="24"/>
                <w:szCs w:val="19"/>
              </w:rPr>
            </w:pPr>
            <w:bookmarkStart w:id="22" w:name="_Hlk37240926"/>
            <w:r w:rsidRPr="00E15179">
              <w:rPr>
                <w:sz w:val="24"/>
                <w:szCs w:val="19"/>
              </w:rPr>
              <w:t xml:space="preserve">To receive this publication in an accessible format email Strategy and Performance Group </w:t>
            </w:r>
            <w:hyperlink r:id="rId18" w:history="1">
              <w:r w:rsidRPr="00213F7B">
                <w:rPr>
                  <w:rStyle w:val="Hyperlink"/>
                  <w:sz w:val="24"/>
                  <w:szCs w:val="19"/>
                </w:rPr>
                <w:t>performance.data@dffh.vic.gov.au</w:t>
              </w:r>
            </w:hyperlink>
          </w:p>
          <w:p w14:paraId="7DF2FFCA" w14:textId="4DEC38F0" w:rsidR="0055119B" w:rsidRPr="0055119B" w:rsidRDefault="0055119B" w:rsidP="00E33237">
            <w:pPr>
              <w:pStyle w:val="Imprint"/>
            </w:pPr>
            <w:r w:rsidRPr="0055119B">
              <w:t>Authorised and published by the Victorian Government, 1 Treasury Place, Melbourne.</w:t>
            </w:r>
          </w:p>
          <w:p w14:paraId="6E4BD3D4" w14:textId="788E03E3" w:rsidR="0055119B" w:rsidRPr="0055119B" w:rsidRDefault="0055119B" w:rsidP="00E33237">
            <w:pPr>
              <w:pStyle w:val="Imprint"/>
            </w:pPr>
            <w:r w:rsidRPr="0055119B">
              <w:t xml:space="preserve">© State of Victoria, Australia, Department </w:t>
            </w:r>
            <w:r w:rsidRPr="001B058F">
              <w:t xml:space="preserve">of </w:t>
            </w:r>
            <w:r w:rsidR="00002D68">
              <w:t>Families, Fairness and Housing</w:t>
            </w:r>
            <w:r w:rsidRPr="0055119B">
              <w:t xml:space="preserve">, </w:t>
            </w:r>
            <w:r w:rsidR="00D06656">
              <w:t>August</w:t>
            </w:r>
            <w:r w:rsidR="009945B6" w:rsidRPr="00D06656">
              <w:t xml:space="preserve"> </w:t>
            </w:r>
            <w:r w:rsidR="00972370" w:rsidRPr="00D06656">
              <w:t>2023</w:t>
            </w:r>
            <w:r w:rsidRPr="00D06656">
              <w:t>.</w:t>
            </w:r>
          </w:p>
          <w:p w14:paraId="33C7DFE8" w14:textId="77777777" w:rsidR="005D0458" w:rsidRDefault="0055119B" w:rsidP="00E33237">
            <w:pPr>
              <w:pStyle w:val="Imprint"/>
            </w:pPr>
            <w:bookmarkStart w:id="23" w:name="_Hlk62746129"/>
            <w:r w:rsidRPr="0055119B">
              <w:t xml:space="preserve">ISBN/ISSN </w:t>
            </w:r>
            <w:r w:rsidR="000447E0" w:rsidRPr="000447E0">
              <w:t>2209-0010</w:t>
            </w:r>
            <w:r w:rsidR="000447E0" w:rsidRPr="000447E0">
              <w:rPr>
                <w:color w:val="004C97"/>
              </w:rPr>
              <w:t xml:space="preserve"> </w:t>
            </w:r>
            <w:r w:rsidRPr="0055119B">
              <w:t>(online/PDF/Word)</w:t>
            </w:r>
            <w:r w:rsidR="00F00460">
              <w:t xml:space="preserve"> </w:t>
            </w:r>
          </w:p>
          <w:p w14:paraId="51FCE217" w14:textId="7232B084" w:rsidR="0055119B" w:rsidRPr="0055119B" w:rsidRDefault="005D0458" w:rsidP="00E33237">
            <w:pPr>
              <w:pStyle w:val="Imprint"/>
            </w:pPr>
            <w:r w:rsidRPr="0055119B">
              <w:t xml:space="preserve">Available at </w:t>
            </w:r>
            <w:hyperlink r:id="rId19" w:history="1">
              <w:r w:rsidR="00F00460" w:rsidRPr="00972370">
                <w:rPr>
                  <w:rStyle w:val="Hyperlink"/>
                </w:rPr>
                <w:t>Department of Families, Fairness and Housing – additional quarterly data operation performance</w:t>
              </w:r>
            </w:hyperlink>
          </w:p>
          <w:bookmarkEnd w:id="23"/>
          <w:p w14:paraId="0C92739F" w14:textId="1F9F7CA6" w:rsidR="0055119B" w:rsidRDefault="0055119B" w:rsidP="00E33237">
            <w:pPr>
              <w:pStyle w:val="Imprint"/>
            </w:pPr>
            <w:r w:rsidRPr="0055119B">
              <w:t>&lt;</w:t>
            </w:r>
            <w:r w:rsidR="008309F9" w:rsidRPr="00972370">
              <w:t>https://www.dffh.vic.gov.au/publications/additional-quarterly-data-operational-performance</w:t>
            </w:r>
            <w:r w:rsidRPr="0055119B">
              <w:t>&gt;</w:t>
            </w:r>
          </w:p>
        </w:tc>
      </w:tr>
      <w:bookmarkEnd w:id="22"/>
    </w:tbl>
    <w:p w14:paraId="312DEA78" w14:textId="77777777" w:rsidR="00162CA9" w:rsidRDefault="00162CA9" w:rsidP="00894C68">
      <w:pPr>
        <w:pStyle w:val="Body"/>
      </w:pPr>
    </w:p>
    <w:sectPr w:rsidR="00162CA9" w:rsidSect="00E513E9">
      <w:headerReference w:type="default" r:id="rId20"/>
      <w:footerReference w:type="default" r:id="rId21"/>
      <w:type w:val="continuous"/>
      <w:pgSz w:w="11906" w:h="16838" w:code="9"/>
      <w:pgMar w:top="1418" w:right="851" w:bottom="709" w:left="851" w:header="680" w:footer="567"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E8612" w14:textId="77777777" w:rsidR="003E4373" w:rsidRDefault="003E4373">
      <w:r>
        <w:separator/>
      </w:r>
    </w:p>
    <w:p w14:paraId="4ADA2F37" w14:textId="77777777" w:rsidR="003E4373" w:rsidRDefault="003E4373"/>
  </w:endnote>
  <w:endnote w:type="continuationSeparator" w:id="0">
    <w:p w14:paraId="7CA95E52" w14:textId="77777777" w:rsidR="003E4373" w:rsidRDefault="003E4373">
      <w:r>
        <w:continuationSeparator/>
      </w:r>
    </w:p>
    <w:p w14:paraId="08947949" w14:textId="77777777" w:rsidR="003E4373" w:rsidRDefault="003E4373"/>
  </w:endnote>
  <w:endnote w:type="continuationNotice" w:id="1">
    <w:p w14:paraId="17AF2B9F" w14:textId="77777777" w:rsidR="003E4373" w:rsidRDefault="003E43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9FEB" w14:textId="77777777" w:rsidR="004056AC" w:rsidRDefault="004056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29F6" w14:textId="30DB642D" w:rsidR="00E261B3" w:rsidRPr="00F65AA9" w:rsidRDefault="004056AC" w:rsidP="00EF2C72">
    <w:pPr>
      <w:pStyle w:val="Footer"/>
    </w:pPr>
    <w:r>
      <w:rPr>
        <w:noProof/>
        <w:lang w:eastAsia="en-AU"/>
      </w:rPr>
      <mc:AlternateContent>
        <mc:Choice Requires="wps">
          <w:drawing>
            <wp:anchor distT="0" distB="0" distL="114300" distR="114300" simplePos="1" relativeHeight="251664896" behindDoc="0" locked="0" layoutInCell="0" allowOverlap="1" wp14:anchorId="6B9EEBA9" wp14:editId="0901FECA">
              <wp:simplePos x="0" y="10189687"/>
              <wp:positionH relativeFrom="page">
                <wp:posOffset>0</wp:posOffset>
              </wp:positionH>
              <wp:positionV relativeFrom="page">
                <wp:posOffset>10189210</wp:posOffset>
              </wp:positionV>
              <wp:extent cx="7560310" cy="311785"/>
              <wp:effectExtent l="0" t="0" r="0" b="12065"/>
              <wp:wrapNone/>
              <wp:docPr id="7" name="MSIPCM2bf44367aa3e7c6ed520142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4A06FD" w14:textId="5BCB29A4"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B9EEBA9" id="_x0000_t202" coordsize="21600,21600" o:spt="202" path="m,l,21600r21600,l21600,xe">
              <v:stroke joinstyle="miter"/>
              <v:path gradientshapeok="t" o:connecttype="rect"/>
            </v:shapetype>
            <v:shape id="MSIPCM2bf44367aa3e7c6ed5201429"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648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4uIzw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6D4A06FD" w14:textId="5BCB29A4"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v:textbox>
              <w10:wrap anchorx="page" anchory="page"/>
            </v:shape>
          </w:pict>
        </mc:Fallback>
      </mc:AlternateContent>
    </w:r>
    <w:r w:rsidR="00860BCC">
      <w:rPr>
        <w:noProof/>
        <w:lang w:eastAsia="en-AU"/>
      </w:rPr>
      <mc:AlternateContent>
        <mc:Choice Requires="wps">
          <w:drawing>
            <wp:anchor distT="0" distB="0" distL="114300" distR="114300" simplePos="0" relativeHeight="251658752" behindDoc="0" locked="0" layoutInCell="0" allowOverlap="1" wp14:anchorId="3E350FE4" wp14:editId="7D9C00BA">
              <wp:simplePos x="0" y="0"/>
              <wp:positionH relativeFrom="page">
                <wp:posOffset>0</wp:posOffset>
              </wp:positionH>
              <wp:positionV relativeFrom="page">
                <wp:posOffset>10189210</wp:posOffset>
              </wp:positionV>
              <wp:extent cx="7560310" cy="311785"/>
              <wp:effectExtent l="0" t="0" r="0" b="12065"/>
              <wp:wrapNone/>
              <wp:docPr id="1" name="Text Box 1"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606EFB2" w14:textId="298C1961"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E350FE4" id="Text Box 1"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6606EFB2" w14:textId="298C1961"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v:textbox>
              <w10:wrap anchorx="page" anchory="page"/>
            </v:shape>
          </w:pict>
        </mc:Fallback>
      </mc:AlternateContent>
    </w:r>
    <w:r w:rsidR="00967335">
      <w:rPr>
        <w:noProof/>
        <w:lang w:eastAsia="en-AU"/>
      </w:rPr>
      <w:drawing>
        <wp:anchor distT="0" distB="0" distL="114300" distR="114300" simplePos="0" relativeHeight="251655680" behindDoc="1" locked="1" layoutInCell="1" allowOverlap="1" wp14:anchorId="7C7F58B7" wp14:editId="798A5D84">
          <wp:simplePos x="538163" y="9644063"/>
          <wp:positionH relativeFrom="page">
            <wp:align>right</wp:align>
          </wp:positionH>
          <wp:positionV relativeFrom="page">
            <wp:align>bottom</wp:align>
          </wp:positionV>
          <wp:extent cx="7560000" cy="792720"/>
          <wp:effectExtent l="0" t="0" r="3175" b="7620"/>
          <wp:wrapNone/>
          <wp:docPr id="10" name="Picture 10" descr="Victoria State Government Families, Fairness and Hou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Victoria State Government Families, Fairness and Housing"/>
                  <pic:cNvPicPr/>
                </pic:nvPicPr>
                <pic:blipFill>
                  <a:blip r:embed="rId1"/>
                  <a:stretch>
                    <a:fillRect/>
                  </a:stretch>
                </pic:blipFill>
                <pic:spPr>
                  <a:xfrm>
                    <a:off x="0" y="0"/>
                    <a:ext cx="7560000" cy="79272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49536" behindDoc="0" locked="0" layoutInCell="0" allowOverlap="1" wp14:anchorId="3F220AE8" wp14:editId="5BC83ADF">
              <wp:simplePos x="0" y="0"/>
              <wp:positionH relativeFrom="page">
                <wp:posOffset>0</wp:posOffset>
              </wp:positionH>
              <wp:positionV relativeFrom="page">
                <wp:posOffset>10189210</wp:posOffset>
              </wp:positionV>
              <wp:extent cx="7560310" cy="311785"/>
              <wp:effectExtent l="0" t="0" r="0" b="12065"/>
              <wp:wrapNone/>
              <wp:docPr id="5" name="Text Box 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F220AE8" id="Text Box 5" o:spid="_x0000_s1028" type="#_x0000_t202" alt="{&quot;HashCode&quot;:904758361,&quot;Height&quot;:841.0,&quot;Width&quot;:595.0,&quot;Placement&quot;:&quot;Footer&quot;,&quot;Index&quot;:&quot;Primary&quot;,&quot;Section&quot;:1,&quot;Top&quot;:0.0,&quot;Left&quot;:0.0}" style="position:absolute;margin-left:0;margin-top:802.3pt;width:595.3pt;height:24.55pt;z-index:2516495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E3ACDE0"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7A31" w14:textId="6A4291FA" w:rsidR="00E261B3" w:rsidRDefault="004056AC">
    <w:pPr>
      <w:pStyle w:val="Footer"/>
    </w:pPr>
    <w:r>
      <w:rPr>
        <w:noProof/>
      </w:rPr>
      <mc:AlternateContent>
        <mc:Choice Requires="wps">
          <w:drawing>
            <wp:anchor distT="0" distB="0" distL="114300" distR="114300" simplePos="0" relativeHeight="251667968" behindDoc="0" locked="0" layoutInCell="0" allowOverlap="1" wp14:anchorId="16E70C93" wp14:editId="0EAF06E1">
              <wp:simplePos x="0" y="0"/>
              <wp:positionH relativeFrom="page">
                <wp:posOffset>0</wp:posOffset>
              </wp:positionH>
              <wp:positionV relativeFrom="page">
                <wp:posOffset>10189210</wp:posOffset>
              </wp:positionV>
              <wp:extent cx="7560310" cy="311785"/>
              <wp:effectExtent l="0" t="0" r="0" b="12065"/>
              <wp:wrapNone/>
              <wp:docPr id="9" name="MSIPCM358d4f45b0a74420653ddb6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99040" w14:textId="686AF05F"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6E70C93" id="_x0000_t202" coordsize="21600,21600" o:spt="202" path="m,l,21600r21600,l21600,xe">
              <v:stroke joinstyle="miter"/>
              <v:path gradientshapeok="t" o:connecttype="rect"/>
            </v:shapetype>
            <v:shape id="MSIPCM358d4f45b0a74420653ddb66" o:spid="_x0000_s1029" type="#_x0000_t202" alt="{&quot;HashCode&quot;:904758361,&quot;Height&quot;:841.0,&quot;Width&quot;:595.0,&quot;Placement&quot;:&quot;Footer&quot;,&quot;Index&quot;:&quot;FirstPage&quot;,&quot;Section&quot;:1,&quot;Top&quot;:0.0,&quot;Left&quot;:0.0}" style="position:absolute;margin-left:0;margin-top:802.3pt;width:595.3pt;height:24.55pt;z-index:2516679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14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Uj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INw14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4D799040" w14:textId="686AF05F"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v:textbox>
              <w10:wrap anchorx="page" anchory="page"/>
            </v:shape>
          </w:pict>
        </mc:Fallback>
      </mc:AlternateContent>
    </w:r>
    <w:r w:rsidR="00860BCC">
      <w:rPr>
        <w:noProof/>
      </w:rPr>
      <mc:AlternateContent>
        <mc:Choice Requires="wps">
          <w:drawing>
            <wp:anchor distT="0" distB="0" distL="114300" distR="114300" simplePos="0" relativeHeight="251661824" behindDoc="0" locked="0" layoutInCell="0" allowOverlap="1" wp14:anchorId="092A9178" wp14:editId="713B5D44">
              <wp:simplePos x="0" y="0"/>
              <wp:positionH relativeFrom="page">
                <wp:posOffset>0</wp:posOffset>
              </wp:positionH>
              <wp:positionV relativeFrom="page">
                <wp:posOffset>10189687</wp:posOffset>
              </wp:positionV>
              <wp:extent cx="7560310" cy="311785"/>
              <wp:effectExtent l="0" t="0" r="0" b="12065"/>
              <wp:wrapNone/>
              <wp:docPr id="2" name="Text Box 2"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1E010AB" w14:textId="3763F3C8"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92A9178" id="Text Box 2" o:spid="_x0000_s1030" type="#_x0000_t202" alt="{&quot;HashCode&quot;:904758361,&quot;Height&quot;:841.0,&quot;Width&quot;:595.0,&quot;Placement&quot;:&quot;Footer&quot;,&quot;Index&quot;:&quot;FirstPage&quot;,&quot;Section&quot;:1,&quot;Top&quot;:0.0,&quot;Left&quot;:0.0}" style="position:absolute;margin-left:0;margin-top:802.35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51E010AB" w14:textId="3763F3C8"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0" relativeHeight="251652608" behindDoc="0" locked="0" layoutInCell="0" allowOverlap="1" wp14:anchorId="36861015" wp14:editId="5023B46B">
              <wp:simplePos x="0" y="0"/>
              <wp:positionH relativeFrom="page">
                <wp:posOffset>0</wp:posOffset>
              </wp:positionH>
              <wp:positionV relativeFrom="page">
                <wp:posOffset>10189687</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6861015" id="Text Box 6" o:spid="_x0000_s1031" type="#_x0000_t202" alt="{&quot;HashCode&quot;:904758361,&quot;Height&quot;:841.0,&quot;Width&quot;:595.0,&quot;Placement&quot;:&quot;Footer&quot;,&quot;Index&quot;:&quot;FirstPage&quot;,&quot;Section&quot;:1,&quot;Top&quot;:0.0,&quot;Left&quot;:0.0}" style="position:absolute;margin-left:0;margin-top:802.35pt;width:595.3pt;height:24.55pt;z-index:2516526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14CB6103"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4A8BE" w14:textId="1751A8CB" w:rsidR="00593A99" w:rsidRPr="00F65AA9" w:rsidRDefault="004056AC" w:rsidP="00EF2C72">
    <w:pPr>
      <w:pStyle w:val="Footer"/>
    </w:pPr>
    <w:r>
      <w:rPr>
        <w:noProof/>
        <w:lang w:eastAsia="en-AU"/>
      </w:rPr>
      <mc:AlternateContent>
        <mc:Choice Requires="wps">
          <w:drawing>
            <wp:anchor distT="0" distB="0" distL="114300" distR="114300" simplePos="0" relativeHeight="251661318" behindDoc="0" locked="0" layoutInCell="0" allowOverlap="1" wp14:anchorId="32C537B5" wp14:editId="36BEEBC4">
              <wp:simplePos x="0" y="0"/>
              <wp:positionH relativeFrom="page">
                <wp:posOffset>0</wp:posOffset>
              </wp:positionH>
              <wp:positionV relativeFrom="page">
                <wp:posOffset>10189210</wp:posOffset>
              </wp:positionV>
              <wp:extent cx="7560310" cy="311785"/>
              <wp:effectExtent l="0" t="0" r="0" b="12065"/>
              <wp:wrapNone/>
              <wp:docPr id="11" name="MSIPCMf2e94539a71207ba66e2fdd5"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3B7453" w14:textId="4EC51350"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2C537B5" id="_x0000_t202" coordsize="21600,21600" o:spt="202" path="m,l,21600r21600,l21600,xe">
              <v:stroke joinstyle="miter"/>
              <v:path gradientshapeok="t" o:connecttype="rect"/>
            </v:shapetype>
            <v:shape id="MSIPCMf2e94539a71207ba66e2fdd5" o:spid="_x0000_s1032" type="#_x0000_t202" alt="{&quot;HashCode&quot;:904758361,&quot;Height&quot;:841.0,&quot;Width&quot;:595.0,&quot;Placement&quot;:&quot;Footer&quot;,&quot;Index&quot;:&quot;Primary&quot;,&quot;Section&quot;:2,&quot;Top&quot;:0.0,&quot;Left&quot;:0.0}" style="position:absolute;margin-left:0;margin-top:802.3pt;width:595.3pt;height:24.55pt;z-index:25166131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c/kHqGAIAACsEAAAOAAAAAAAAAAAAAAAAAC4CAABkcnMvZTJvRG9jLnhtbFBLAQItABQA&#10;BgAIAAAAIQBIDV6a3wAAAAsBAAAPAAAAAAAAAAAAAAAAAHIEAABkcnMvZG93bnJldi54bWxQSwUG&#10;AAAAAAQABADzAAAAfgUAAAAA&#10;" o:allowincell="f" filled="f" stroked="f" strokeweight=".5pt">
              <v:fill o:detectmouseclick="t"/>
              <v:textbox inset=",0,,0">
                <w:txbxContent>
                  <w:p w14:paraId="303B7453" w14:textId="4EC51350" w:rsidR="004056AC" w:rsidRPr="004056AC" w:rsidRDefault="004056AC" w:rsidP="004056AC">
                    <w:pPr>
                      <w:spacing w:after="0"/>
                      <w:jc w:val="center"/>
                      <w:rPr>
                        <w:rFonts w:ascii="Arial Black" w:hAnsi="Arial Black"/>
                        <w:color w:val="000000"/>
                        <w:sz w:val="20"/>
                      </w:rPr>
                    </w:pPr>
                    <w:r w:rsidRPr="004056AC">
                      <w:rPr>
                        <w:rFonts w:ascii="Arial Black" w:hAnsi="Arial Black"/>
                        <w:color w:val="000000"/>
                        <w:sz w:val="20"/>
                      </w:rPr>
                      <w:t>OFFICIAL</w:t>
                    </w:r>
                  </w:p>
                </w:txbxContent>
              </v:textbox>
              <w10:wrap anchorx="page" anchory="page"/>
            </v:shape>
          </w:pict>
        </mc:Fallback>
      </mc:AlternateContent>
    </w:r>
    <w:r w:rsidR="00860BCC">
      <w:rPr>
        <w:noProof/>
        <w:lang w:eastAsia="en-AU"/>
      </w:rPr>
      <mc:AlternateContent>
        <mc:Choice Requires="wps">
          <w:drawing>
            <wp:anchor distT="0" distB="0" distL="114300" distR="114300" simplePos="0" relativeHeight="251658246" behindDoc="0" locked="0" layoutInCell="0" allowOverlap="1" wp14:anchorId="47C50C77" wp14:editId="3331E16F">
              <wp:simplePos x="0" y="0"/>
              <wp:positionH relativeFrom="page">
                <wp:posOffset>0</wp:posOffset>
              </wp:positionH>
              <wp:positionV relativeFrom="page">
                <wp:posOffset>10189210</wp:posOffset>
              </wp:positionV>
              <wp:extent cx="7560310" cy="311785"/>
              <wp:effectExtent l="0" t="0" r="0" b="12065"/>
              <wp:wrapNone/>
              <wp:docPr id="8" name="Text Box 8"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07C62B" w14:textId="01F6A05C"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7C50C77" id="Text Box 8" o:spid="_x0000_s1033" type="#_x0000_t202" alt="{&quot;HashCode&quot;:904758361,&quot;Height&quot;:841.0,&quot;Width&quot;:595.0,&quot;Placement&quot;:&quot;Footer&quot;,&quot;Index&quot;:&quot;Primary&quot;,&quot;Section&quot;:2,&quot;Top&quot;:0.0,&quot;Left&quot;:0.0}" style="position:absolute;margin-left:0;margin-top:802.3pt;width:595.3pt;height:24.55pt;z-index:25165824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07C62B" w14:textId="01F6A05C" w:rsidR="00860BCC" w:rsidRPr="00860BCC" w:rsidRDefault="00860BCC" w:rsidP="00860BCC">
                    <w:pPr>
                      <w:spacing w:after="0"/>
                      <w:jc w:val="center"/>
                      <w:rPr>
                        <w:rFonts w:ascii="Arial Black" w:hAnsi="Arial Black"/>
                        <w:color w:val="000000"/>
                        <w:sz w:val="20"/>
                      </w:rPr>
                    </w:pPr>
                    <w:r w:rsidRPr="00860BCC">
                      <w:rPr>
                        <w:rFonts w:ascii="Arial Black" w:hAnsi="Arial Black"/>
                        <w:color w:val="000000"/>
                        <w:sz w:val="20"/>
                      </w:rPr>
                      <w:t>OFFICIAL</w:t>
                    </w:r>
                  </w:p>
                </w:txbxContent>
              </v:textbox>
              <w10:wrap anchorx="page" anchory="page"/>
            </v:shape>
          </w:pict>
        </mc:Fallback>
      </mc:AlternateContent>
    </w:r>
    <w:r w:rsidR="00593A99">
      <w:rPr>
        <w:noProof/>
        <w:lang w:eastAsia="en-AU"/>
      </w:rPr>
      <mc:AlternateContent>
        <mc:Choice Requires="wps">
          <w:drawing>
            <wp:anchor distT="0" distB="0" distL="114300" distR="114300" simplePos="0" relativeHeight="251658242" behindDoc="0" locked="0" layoutInCell="0" allowOverlap="1" wp14:anchorId="005089CE" wp14:editId="12E569FA">
              <wp:simplePos x="0" y="0"/>
              <wp:positionH relativeFrom="page">
                <wp:posOffset>0</wp:posOffset>
              </wp:positionH>
              <wp:positionV relativeFrom="page">
                <wp:posOffset>10189210</wp:posOffset>
              </wp:positionV>
              <wp:extent cx="7560310" cy="311785"/>
              <wp:effectExtent l="0" t="0" r="0" b="12065"/>
              <wp:wrapNone/>
              <wp:docPr id="3" name="Text Box 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005089CE" id="Text Box 3" o:spid="_x0000_s1034" type="#_x0000_t202" alt="{&quot;HashCode&quot;:904758361,&quot;Height&quot;:841.0,&quot;Width&quot;:595.0,&quot;Placement&quot;:&quot;Footer&quot;,&quot;Index&quot;:&quot;Primary&quot;,&quot;Section&quot;:1,&quot;Top&quot;:0.0,&quot;Left&quot;:0.0}" style="position:absolute;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" o:allowincell="f" filled="f" stroked="f" strokeweight=".5pt">
              <v:textbox inset=",0,,0">
                <w:txbxContent>
                  <w:p w14:paraId="4A19E81D" w14:textId="77777777" w:rsidR="00593A99" w:rsidRPr="00B21F90" w:rsidRDefault="00593A99"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64D4C" w14:textId="77777777" w:rsidR="003E4373" w:rsidRDefault="003E4373" w:rsidP="00207717">
      <w:pPr>
        <w:spacing w:before="120"/>
      </w:pPr>
      <w:r>
        <w:separator/>
      </w:r>
    </w:p>
  </w:footnote>
  <w:footnote w:type="continuationSeparator" w:id="0">
    <w:p w14:paraId="28DA6C49" w14:textId="77777777" w:rsidR="003E4373" w:rsidRDefault="003E4373">
      <w:r>
        <w:continuationSeparator/>
      </w:r>
    </w:p>
    <w:p w14:paraId="5E78E3E4" w14:textId="77777777" w:rsidR="003E4373" w:rsidRDefault="003E4373"/>
  </w:footnote>
  <w:footnote w:type="continuationNotice" w:id="1">
    <w:p w14:paraId="40AA3167" w14:textId="77777777" w:rsidR="003E4373" w:rsidRDefault="003E4373">
      <w:pPr>
        <w:spacing w:after="0" w:line="240" w:lineRule="auto"/>
      </w:pPr>
    </w:p>
  </w:footnote>
  <w:footnote w:id="2">
    <w:p w14:paraId="1309CE80" w14:textId="1741CBA6" w:rsidR="00965234" w:rsidRPr="00E0105B" w:rsidRDefault="004545F0">
      <w:pPr>
        <w:pStyle w:val="FootnoteText"/>
        <w:rPr>
          <w:rStyle w:val="FootnoteReference"/>
        </w:rPr>
      </w:pPr>
      <w:r>
        <w:rPr>
          <w:rStyle w:val="FootnoteReference"/>
        </w:rPr>
        <w:footnoteRef/>
      </w:r>
      <w:r>
        <w:t xml:space="preserve"> </w:t>
      </w:r>
      <w:r>
        <w:rPr>
          <w:vertAlign w:val="superscript"/>
        </w:rPr>
        <w:t>Change in counting rules 2022-23</w:t>
      </w:r>
      <w:r w:rsidR="003927B7">
        <w:rPr>
          <w:vertAlign w:val="superscript"/>
        </w:rPr>
        <w:t xml:space="preserve">. </w:t>
      </w:r>
      <w:r w:rsidR="00AE27C0" w:rsidRPr="00E07AE1">
        <w:rPr>
          <w:rStyle w:val="FootnoteReference"/>
        </w:rPr>
        <w:t xml:space="preserve"> </w:t>
      </w:r>
    </w:p>
  </w:footnote>
  <w:footnote w:id="3">
    <w:p w14:paraId="0A5CEF35" w14:textId="6FC22BAA" w:rsidR="00C661EF" w:rsidRDefault="00C661EF">
      <w:pPr>
        <w:pStyle w:val="FootnoteText"/>
      </w:pPr>
      <w:r>
        <w:rPr>
          <w:rStyle w:val="FootnoteReference"/>
        </w:rPr>
        <w:t>1</w:t>
      </w:r>
      <w:r>
        <w:t xml:space="preserve"> </w:t>
      </w:r>
      <w:r>
        <w:rPr>
          <w:vertAlign w:val="superscript"/>
        </w:rPr>
        <w:t xml:space="preserve">Change in counting rules 2022-23. </w:t>
      </w:r>
      <w:r w:rsidRPr="00E07AE1">
        <w:rPr>
          <w:rStyle w:val="FootnoteReference"/>
        </w:rPr>
        <w:t xml:space="preserve"> </w:t>
      </w:r>
    </w:p>
    <w:p w14:paraId="2A8A3B93" w14:textId="0712069B" w:rsidR="00756F24" w:rsidRDefault="00756F24">
      <w:pPr>
        <w:pStyle w:val="FootnoteText"/>
      </w:pPr>
      <w:r>
        <w:rPr>
          <w:rStyle w:val="FootnoteReference"/>
        </w:rPr>
        <w:footnoteRef/>
      </w:r>
      <w:r>
        <w:t xml:space="preserve"> </w:t>
      </w:r>
      <w:r>
        <w:rPr>
          <w:vertAlign w:val="superscript"/>
        </w:rPr>
        <w:t>New BP3 performance measure 2022-23</w:t>
      </w:r>
      <w:r w:rsidR="00C661EF">
        <w:rPr>
          <w:vertAlign w:val="superscript"/>
        </w:rPr>
        <w:t>.</w:t>
      </w:r>
    </w:p>
  </w:footnote>
  <w:footnote w:id="4">
    <w:p w14:paraId="19E110AD" w14:textId="3CF90AD8" w:rsidR="00963EBF" w:rsidRDefault="00963EBF">
      <w:pPr>
        <w:pStyle w:val="FootnoteText"/>
      </w:pPr>
      <w:r>
        <w:rPr>
          <w:rStyle w:val="FootnoteReference"/>
        </w:rPr>
        <w:footnoteRef/>
      </w:r>
      <w:r>
        <w:t xml:space="preserve"> </w:t>
      </w:r>
      <w:r w:rsidRPr="00866626">
        <w:rPr>
          <w:rStyle w:val="FootnoteReference"/>
        </w:rPr>
        <w:t>Measure name changed in 202</w:t>
      </w:r>
      <w:r w:rsidRPr="00122003">
        <w:rPr>
          <w:rStyle w:val="FootnoteReference"/>
        </w:rPr>
        <w:t>2-23</w:t>
      </w:r>
      <w:r w:rsidRPr="00866626">
        <w:rPr>
          <w:rStyle w:val="FootnoteReference"/>
        </w:rPr>
        <w:t xml:space="preserve"> BP3, count rule </w:t>
      </w:r>
      <w:r w:rsidRPr="00833E9C">
        <w:rPr>
          <w:rStyle w:val="FootnoteReference"/>
        </w:rPr>
        <w:t xml:space="preserve">is </w:t>
      </w:r>
      <w:r w:rsidRPr="00866626">
        <w:rPr>
          <w:rStyle w:val="FootnoteReference"/>
        </w:rPr>
        <w:t>consistent with previous reports</w:t>
      </w:r>
      <w:r>
        <w:rPr>
          <w:rStyle w:val="FootnoteReferenc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6B515" w14:textId="77777777" w:rsidR="004056AC" w:rsidRDefault="004056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10AA0" w14:textId="77777777" w:rsidR="004056AC" w:rsidRDefault="00405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1F057" w14:textId="77777777" w:rsidR="004056AC" w:rsidRDefault="00405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96D1" w14:textId="338974FA" w:rsidR="00E261B3" w:rsidRPr="0051568D" w:rsidRDefault="00972370" w:rsidP="00972370">
    <w:pPr>
      <w:pStyle w:val="Header"/>
    </w:pPr>
    <w:r>
      <w:t xml:space="preserve">Performance for selected measures Quarter </w:t>
    </w:r>
    <w:r w:rsidR="00AB6F0E">
      <w:t>4</w:t>
    </w:r>
    <w:r>
      <w:t xml:space="preserve">, 2022–23 financial year </w:t>
    </w:r>
    <w:r>
      <w:br/>
      <w:t>Child Protection and Family Services</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A10A987A"/>
    <w:numStyleLink w:val="ZZNumbersloweralpha"/>
  </w:abstractNum>
  <w:abstractNum w:abstractNumId="13" w15:restartNumberingAfterBreak="0">
    <w:nsid w:val="0B8D43DB"/>
    <w:multiLevelType w:val="multilevel"/>
    <w:tmpl w:val="B4525A8A"/>
    <w:numStyleLink w:val="ZZNumbersdigit"/>
  </w:abstractNum>
  <w:abstractNum w:abstractNumId="14" w15:restartNumberingAfterBreak="0">
    <w:nsid w:val="0BAD2E30"/>
    <w:multiLevelType w:val="multilevel"/>
    <w:tmpl w:val="A10A987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B4525A8A"/>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EA56950A"/>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CE309CD8"/>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94EEF5CE"/>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60E46E98"/>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997294771">
    <w:abstractNumId w:val="10"/>
  </w:num>
  <w:num w:numId="2" w16cid:durableId="1873760588">
    <w:abstractNumId w:val="17"/>
  </w:num>
  <w:num w:numId="3" w16cid:durableId="12441429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1435625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25239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4570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9669262">
    <w:abstractNumId w:val="21"/>
  </w:num>
  <w:num w:numId="8" w16cid:durableId="61411971">
    <w:abstractNumId w:val="16"/>
  </w:num>
  <w:num w:numId="9" w16cid:durableId="1770202355">
    <w:abstractNumId w:val="20"/>
  </w:num>
  <w:num w:numId="10" w16cid:durableId="9907132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53040940">
    <w:abstractNumId w:val="22"/>
  </w:num>
  <w:num w:numId="12" w16cid:durableId="31660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78695592">
    <w:abstractNumId w:val="18"/>
  </w:num>
  <w:num w:numId="14" w16cid:durableId="7736698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3318314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885707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60553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0147334">
    <w:abstractNumId w:val="24"/>
  </w:num>
  <w:num w:numId="19" w16cid:durableId="9434212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77711057">
    <w:abstractNumId w:val="14"/>
  </w:num>
  <w:num w:numId="21" w16cid:durableId="1226447813">
    <w:abstractNumId w:val="12"/>
  </w:num>
  <w:num w:numId="22" w16cid:durableId="5876175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7528960">
    <w:abstractNumId w:val="15"/>
  </w:num>
  <w:num w:numId="24" w16cid:durableId="89157171">
    <w:abstractNumId w:val="25"/>
  </w:num>
  <w:num w:numId="25" w16cid:durableId="1480684254">
    <w:abstractNumId w:val="23"/>
  </w:num>
  <w:num w:numId="26" w16cid:durableId="1809282973">
    <w:abstractNumId w:val="19"/>
  </w:num>
  <w:num w:numId="27" w16cid:durableId="1036928720">
    <w:abstractNumId w:val="11"/>
  </w:num>
  <w:num w:numId="28" w16cid:durableId="1358771811">
    <w:abstractNumId w:val="26"/>
  </w:num>
  <w:num w:numId="29" w16cid:durableId="1849783483">
    <w:abstractNumId w:val="9"/>
  </w:num>
  <w:num w:numId="30" w16cid:durableId="764224400">
    <w:abstractNumId w:val="7"/>
  </w:num>
  <w:num w:numId="31" w16cid:durableId="754471457">
    <w:abstractNumId w:val="6"/>
  </w:num>
  <w:num w:numId="32" w16cid:durableId="403726507">
    <w:abstractNumId w:val="5"/>
  </w:num>
  <w:num w:numId="33" w16cid:durableId="1103919666">
    <w:abstractNumId w:val="4"/>
  </w:num>
  <w:num w:numId="34" w16cid:durableId="511380406">
    <w:abstractNumId w:val="8"/>
  </w:num>
  <w:num w:numId="35" w16cid:durableId="607785191">
    <w:abstractNumId w:val="3"/>
  </w:num>
  <w:num w:numId="36" w16cid:durableId="2059545193">
    <w:abstractNumId w:val="2"/>
  </w:num>
  <w:num w:numId="37" w16cid:durableId="1217666215">
    <w:abstractNumId w:val="1"/>
  </w:num>
  <w:num w:numId="38" w16cid:durableId="1611621662">
    <w:abstractNumId w:val="0"/>
  </w:num>
  <w:num w:numId="39" w16cid:durableId="168436177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09508522">
    <w:abstractNumId w:val="21"/>
  </w:num>
  <w:num w:numId="41" w16cid:durableId="1960795635">
    <w:abstractNumId w:val="21"/>
  </w:num>
  <w:num w:numId="42" w16cid:durableId="284845876">
    <w:abstractNumId w:val="21"/>
  </w:num>
  <w:num w:numId="43" w16cid:durableId="7609879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F42"/>
    <w:rsid w:val="00000719"/>
    <w:rsid w:val="00002D68"/>
    <w:rsid w:val="00003403"/>
    <w:rsid w:val="00003C1F"/>
    <w:rsid w:val="00004475"/>
    <w:rsid w:val="00005347"/>
    <w:rsid w:val="000072B6"/>
    <w:rsid w:val="0001021B"/>
    <w:rsid w:val="00011D89"/>
    <w:rsid w:val="000154FD"/>
    <w:rsid w:val="00021CB0"/>
    <w:rsid w:val="00022271"/>
    <w:rsid w:val="000235E8"/>
    <w:rsid w:val="00023BA9"/>
    <w:rsid w:val="00024D89"/>
    <w:rsid w:val="000250B6"/>
    <w:rsid w:val="00033D81"/>
    <w:rsid w:val="00037366"/>
    <w:rsid w:val="00041BF0"/>
    <w:rsid w:val="00042C8A"/>
    <w:rsid w:val="000447E0"/>
    <w:rsid w:val="0004536B"/>
    <w:rsid w:val="000459AB"/>
    <w:rsid w:val="00046B68"/>
    <w:rsid w:val="000527DD"/>
    <w:rsid w:val="00054A79"/>
    <w:rsid w:val="000578B2"/>
    <w:rsid w:val="000601F4"/>
    <w:rsid w:val="00060959"/>
    <w:rsid w:val="00060C8F"/>
    <w:rsid w:val="0006298A"/>
    <w:rsid w:val="000643BD"/>
    <w:rsid w:val="000654D3"/>
    <w:rsid w:val="000663CD"/>
    <w:rsid w:val="00071AFB"/>
    <w:rsid w:val="000733FE"/>
    <w:rsid w:val="00074219"/>
    <w:rsid w:val="00074ED5"/>
    <w:rsid w:val="00083576"/>
    <w:rsid w:val="00083C8B"/>
    <w:rsid w:val="0008508E"/>
    <w:rsid w:val="00086557"/>
    <w:rsid w:val="00087951"/>
    <w:rsid w:val="0009050A"/>
    <w:rsid w:val="0009113B"/>
    <w:rsid w:val="00091DE5"/>
    <w:rsid w:val="00093402"/>
    <w:rsid w:val="00094DA3"/>
    <w:rsid w:val="00096CD1"/>
    <w:rsid w:val="000A012C"/>
    <w:rsid w:val="000A0EB9"/>
    <w:rsid w:val="000A186C"/>
    <w:rsid w:val="000A1EA4"/>
    <w:rsid w:val="000A2476"/>
    <w:rsid w:val="000A641A"/>
    <w:rsid w:val="000B11D3"/>
    <w:rsid w:val="000B2117"/>
    <w:rsid w:val="000B3BCC"/>
    <w:rsid w:val="000B3EDB"/>
    <w:rsid w:val="000B543D"/>
    <w:rsid w:val="000B55F9"/>
    <w:rsid w:val="000B5BF7"/>
    <w:rsid w:val="000B6BC8"/>
    <w:rsid w:val="000B6D03"/>
    <w:rsid w:val="000C0303"/>
    <w:rsid w:val="000C283D"/>
    <w:rsid w:val="000C2CBB"/>
    <w:rsid w:val="000C38B0"/>
    <w:rsid w:val="000C42EA"/>
    <w:rsid w:val="000C4546"/>
    <w:rsid w:val="000C5BD9"/>
    <w:rsid w:val="000D1242"/>
    <w:rsid w:val="000D341D"/>
    <w:rsid w:val="000D56D8"/>
    <w:rsid w:val="000D709D"/>
    <w:rsid w:val="000E0970"/>
    <w:rsid w:val="000E0E0B"/>
    <w:rsid w:val="000E1850"/>
    <w:rsid w:val="000E3CC7"/>
    <w:rsid w:val="000E6BD4"/>
    <w:rsid w:val="000E6D6D"/>
    <w:rsid w:val="000F1F1E"/>
    <w:rsid w:val="000F2259"/>
    <w:rsid w:val="000F2DDA"/>
    <w:rsid w:val="000F2EA0"/>
    <w:rsid w:val="000F4009"/>
    <w:rsid w:val="000F5213"/>
    <w:rsid w:val="000F6C63"/>
    <w:rsid w:val="000F7706"/>
    <w:rsid w:val="00100BC4"/>
    <w:rsid w:val="00101001"/>
    <w:rsid w:val="00103276"/>
    <w:rsid w:val="0010392D"/>
    <w:rsid w:val="00103D2D"/>
    <w:rsid w:val="0010447F"/>
    <w:rsid w:val="00104822"/>
    <w:rsid w:val="00104FE3"/>
    <w:rsid w:val="00105291"/>
    <w:rsid w:val="001070A5"/>
    <w:rsid w:val="0010714F"/>
    <w:rsid w:val="00111044"/>
    <w:rsid w:val="001120C5"/>
    <w:rsid w:val="00116E9E"/>
    <w:rsid w:val="00120BD3"/>
    <w:rsid w:val="00122FEA"/>
    <w:rsid w:val="001232BD"/>
    <w:rsid w:val="00124ED5"/>
    <w:rsid w:val="001276FA"/>
    <w:rsid w:val="001328D8"/>
    <w:rsid w:val="00133D9D"/>
    <w:rsid w:val="00142DD2"/>
    <w:rsid w:val="001447B3"/>
    <w:rsid w:val="00144B48"/>
    <w:rsid w:val="00152073"/>
    <w:rsid w:val="00156598"/>
    <w:rsid w:val="00160372"/>
    <w:rsid w:val="0016037B"/>
    <w:rsid w:val="00161939"/>
    <w:rsid w:val="00161AA0"/>
    <w:rsid w:val="00161D2E"/>
    <w:rsid w:val="00161F3E"/>
    <w:rsid w:val="00162093"/>
    <w:rsid w:val="001621A0"/>
    <w:rsid w:val="00162CA9"/>
    <w:rsid w:val="00165459"/>
    <w:rsid w:val="00165A57"/>
    <w:rsid w:val="00165F01"/>
    <w:rsid w:val="00170D02"/>
    <w:rsid w:val="001712C2"/>
    <w:rsid w:val="00172BAF"/>
    <w:rsid w:val="001734CE"/>
    <w:rsid w:val="00174A8F"/>
    <w:rsid w:val="0017674D"/>
    <w:rsid w:val="001771DD"/>
    <w:rsid w:val="00177995"/>
    <w:rsid w:val="00177A8C"/>
    <w:rsid w:val="00177DA1"/>
    <w:rsid w:val="001838D9"/>
    <w:rsid w:val="00184C70"/>
    <w:rsid w:val="00186B33"/>
    <w:rsid w:val="001927A6"/>
    <w:rsid w:val="00192F9D"/>
    <w:rsid w:val="00193D01"/>
    <w:rsid w:val="00196EB8"/>
    <w:rsid w:val="00196EFB"/>
    <w:rsid w:val="001979FF"/>
    <w:rsid w:val="00197B17"/>
    <w:rsid w:val="001A1950"/>
    <w:rsid w:val="001A1C54"/>
    <w:rsid w:val="001A202A"/>
    <w:rsid w:val="001A3ACE"/>
    <w:rsid w:val="001A5130"/>
    <w:rsid w:val="001B058F"/>
    <w:rsid w:val="001B6B96"/>
    <w:rsid w:val="001B7228"/>
    <w:rsid w:val="001B738B"/>
    <w:rsid w:val="001C09DB"/>
    <w:rsid w:val="001C1633"/>
    <w:rsid w:val="001C277E"/>
    <w:rsid w:val="001C2A72"/>
    <w:rsid w:val="001C31B7"/>
    <w:rsid w:val="001C4D24"/>
    <w:rsid w:val="001C543E"/>
    <w:rsid w:val="001D0B75"/>
    <w:rsid w:val="001D39A5"/>
    <w:rsid w:val="001D3C09"/>
    <w:rsid w:val="001D4380"/>
    <w:rsid w:val="001D44E8"/>
    <w:rsid w:val="001D60EC"/>
    <w:rsid w:val="001D6F59"/>
    <w:rsid w:val="001E44DF"/>
    <w:rsid w:val="001E68A5"/>
    <w:rsid w:val="001E6BB0"/>
    <w:rsid w:val="001E7282"/>
    <w:rsid w:val="001E7FEB"/>
    <w:rsid w:val="001F3826"/>
    <w:rsid w:val="001F6E46"/>
    <w:rsid w:val="001F7C91"/>
    <w:rsid w:val="002033B7"/>
    <w:rsid w:val="00206463"/>
    <w:rsid w:val="00206F2F"/>
    <w:rsid w:val="00207425"/>
    <w:rsid w:val="00207717"/>
    <w:rsid w:val="00207EB4"/>
    <w:rsid w:val="0021053D"/>
    <w:rsid w:val="00210A92"/>
    <w:rsid w:val="00216C03"/>
    <w:rsid w:val="002177D6"/>
    <w:rsid w:val="00220407"/>
    <w:rsid w:val="00220C04"/>
    <w:rsid w:val="0022278D"/>
    <w:rsid w:val="0022701F"/>
    <w:rsid w:val="00227C68"/>
    <w:rsid w:val="00233311"/>
    <w:rsid w:val="002333F5"/>
    <w:rsid w:val="00233724"/>
    <w:rsid w:val="002365B4"/>
    <w:rsid w:val="00242378"/>
    <w:rsid w:val="002432E1"/>
    <w:rsid w:val="00246207"/>
    <w:rsid w:val="00246C5E"/>
    <w:rsid w:val="00247FBB"/>
    <w:rsid w:val="00250960"/>
    <w:rsid w:val="00250DC4"/>
    <w:rsid w:val="00251343"/>
    <w:rsid w:val="002536A4"/>
    <w:rsid w:val="00254F58"/>
    <w:rsid w:val="00260B45"/>
    <w:rsid w:val="002620BC"/>
    <w:rsid w:val="00262802"/>
    <w:rsid w:val="00263A90"/>
    <w:rsid w:val="0026408B"/>
    <w:rsid w:val="00267C3E"/>
    <w:rsid w:val="002709BB"/>
    <w:rsid w:val="0027131C"/>
    <w:rsid w:val="00272A9D"/>
    <w:rsid w:val="00272CCF"/>
    <w:rsid w:val="00273BAC"/>
    <w:rsid w:val="002742E5"/>
    <w:rsid w:val="002763B3"/>
    <w:rsid w:val="002802E3"/>
    <w:rsid w:val="00280C4B"/>
    <w:rsid w:val="0028213D"/>
    <w:rsid w:val="002862F1"/>
    <w:rsid w:val="00291373"/>
    <w:rsid w:val="002937DC"/>
    <w:rsid w:val="0029597D"/>
    <w:rsid w:val="002962C3"/>
    <w:rsid w:val="0029752B"/>
    <w:rsid w:val="002A0A9C"/>
    <w:rsid w:val="002A483C"/>
    <w:rsid w:val="002A75A4"/>
    <w:rsid w:val="002B02C6"/>
    <w:rsid w:val="002B0C7C"/>
    <w:rsid w:val="002B1729"/>
    <w:rsid w:val="002B36C7"/>
    <w:rsid w:val="002B4DD4"/>
    <w:rsid w:val="002B5277"/>
    <w:rsid w:val="002B5375"/>
    <w:rsid w:val="002B77C1"/>
    <w:rsid w:val="002C0ED7"/>
    <w:rsid w:val="002C2728"/>
    <w:rsid w:val="002C3D86"/>
    <w:rsid w:val="002C521C"/>
    <w:rsid w:val="002C6BB1"/>
    <w:rsid w:val="002D1E0D"/>
    <w:rsid w:val="002D5006"/>
    <w:rsid w:val="002D565A"/>
    <w:rsid w:val="002E01D0"/>
    <w:rsid w:val="002E05F6"/>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511A"/>
    <w:rsid w:val="00316F27"/>
    <w:rsid w:val="003214F1"/>
    <w:rsid w:val="003221D9"/>
    <w:rsid w:val="00322E4B"/>
    <w:rsid w:val="003252EE"/>
    <w:rsid w:val="00327870"/>
    <w:rsid w:val="0033259D"/>
    <w:rsid w:val="003333D2"/>
    <w:rsid w:val="003337C5"/>
    <w:rsid w:val="003350BB"/>
    <w:rsid w:val="00337339"/>
    <w:rsid w:val="003406C6"/>
    <w:rsid w:val="00340A22"/>
    <w:rsid w:val="003418CC"/>
    <w:rsid w:val="003459BD"/>
    <w:rsid w:val="00350D38"/>
    <w:rsid w:val="00351405"/>
    <w:rsid w:val="00351B36"/>
    <w:rsid w:val="00357B4E"/>
    <w:rsid w:val="00360DC3"/>
    <w:rsid w:val="003716FD"/>
    <w:rsid w:val="00371A47"/>
    <w:rsid w:val="0037204B"/>
    <w:rsid w:val="00372C9C"/>
    <w:rsid w:val="003744CF"/>
    <w:rsid w:val="00374717"/>
    <w:rsid w:val="00375D6E"/>
    <w:rsid w:val="0037676C"/>
    <w:rsid w:val="00377A1A"/>
    <w:rsid w:val="00380793"/>
    <w:rsid w:val="00381043"/>
    <w:rsid w:val="003824CD"/>
    <w:rsid w:val="003829E5"/>
    <w:rsid w:val="00382A2A"/>
    <w:rsid w:val="00383401"/>
    <w:rsid w:val="00386109"/>
    <w:rsid w:val="00386944"/>
    <w:rsid w:val="003927B7"/>
    <w:rsid w:val="003956CC"/>
    <w:rsid w:val="00395C9A"/>
    <w:rsid w:val="003A04E1"/>
    <w:rsid w:val="003A06D7"/>
    <w:rsid w:val="003A0853"/>
    <w:rsid w:val="003A1A9E"/>
    <w:rsid w:val="003A6B67"/>
    <w:rsid w:val="003B0BF6"/>
    <w:rsid w:val="003B0F09"/>
    <w:rsid w:val="003B13B6"/>
    <w:rsid w:val="003B14C3"/>
    <w:rsid w:val="003B15E6"/>
    <w:rsid w:val="003B1BDC"/>
    <w:rsid w:val="003B408A"/>
    <w:rsid w:val="003B56EB"/>
    <w:rsid w:val="003C08A2"/>
    <w:rsid w:val="003C2045"/>
    <w:rsid w:val="003C43A1"/>
    <w:rsid w:val="003C4D30"/>
    <w:rsid w:val="003C4FC0"/>
    <w:rsid w:val="003C55F4"/>
    <w:rsid w:val="003C7897"/>
    <w:rsid w:val="003C7A3F"/>
    <w:rsid w:val="003D1DFF"/>
    <w:rsid w:val="003D2766"/>
    <w:rsid w:val="003D2A74"/>
    <w:rsid w:val="003D3E8F"/>
    <w:rsid w:val="003D6475"/>
    <w:rsid w:val="003D6EE6"/>
    <w:rsid w:val="003D7000"/>
    <w:rsid w:val="003D73A6"/>
    <w:rsid w:val="003D7E30"/>
    <w:rsid w:val="003E375C"/>
    <w:rsid w:val="003E4086"/>
    <w:rsid w:val="003E4164"/>
    <w:rsid w:val="003E4373"/>
    <w:rsid w:val="003E639E"/>
    <w:rsid w:val="003E71E5"/>
    <w:rsid w:val="003F0445"/>
    <w:rsid w:val="003F0CF0"/>
    <w:rsid w:val="003F12DA"/>
    <w:rsid w:val="003F14B1"/>
    <w:rsid w:val="003F2B20"/>
    <w:rsid w:val="003F3289"/>
    <w:rsid w:val="003F361C"/>
    <w:rsid w:val="003F3C62"/>
    <w:rsid w:val="003F5CB9"/>
    <w:rsid w:val="004013C7"/>
    <w:rsid w:val="00401FCF"/>
    <w:rsid w:val="004056AC"/>
    <w:rsid w:val="00406157"/>
    <w:rsid w:val="00406285"/>
    <w:rsid w:val="004104A6"/>
    <w:rsid w:val="0041176F"/>
    <w:rsid w:val="00411A65"/>
    <w:rsid w:val="0041453B"/>
    <w:rsid w:val="004148F9"/>
    <w:rsid w:val="00416DBE"/>
    <w:rsid w:val="0042084E"/>
    <w:rsid w:val="00421EEF"/>
    <w:rsid w:val="00424D65"/>
    <w:rsid w:val="00430393"/>
    <w:rsid w:val="00431806"/>
    <w:rsid w:val="004350F9"/>
    <w:rsid w:val="0043536A"/>
    <w:rsid w:val="00437AC5"/>
    <w:rsid w:val="00442C6C"/>
    <w:rsid w:val="00443CBE"/>
    <w:rsid w:val="00443E8A"/>
    <w:rsid w:val="004441BC"/>
    <w:rsid w:val="004468B4"/>
    <w:rsid w:val="00450FA3"/>
    <w:rsid w:val="0045230A"/>
    <w:rsid w:val="004545F0"/>
    <w:rsid w:val="00454AD0"/>
    <w:rsid w:val="00457337"/>
    <w:rsid w:val="0046234A"/>
    <w:rsid w:val="00462E3D"/>
    <w:rsid w:val="004631D6"/>
    <w:rsid w:val="0046440A"/>
    <w:rsid w:val="00466E79"/>
    <w:rsid w:val="00470D7D"/>
    <w:rsid w:val="0047372D"/>
    <w:rsid w:val="00473BA3"/>
    <w:rsid w:val="004743DD"/>
    <w:rsid w:val="00474CEA"/>
    <w:rsid w:val="004814ED"/>
    <w:rsid w:val="00483968"/>
    <w:rsid w:val="00483B9B"/>
    <w:rsid w:val="004841BE"/>
    <w:rsid w:val="00484F86"/>
    <w:rsid w:val="00490746"/>
    <w:rsid w:val="00490852"/>
    <w:rsid w:val="00491C9C"/>
    <w:rsid w:val="00492F30"/>
    <w:rsid w:val="004946F4"/>
    <w:rsid w:val="0049487E"/>
    <w:rsid w:val="004A160D"/>
    <w:rsid w:val="004A3194"/>
    <w:rsid w:val="004A3E81"/>
    <w:rsid w:val="004A4195"/>
    <w:rsid w:val="004A5C62"/>
    <w:rsid w:val="004A5CE5"/>
    <w:rsid w:val="004A707D"/>
    <w:rsid w:val="004A78B6"/>
    <w:rsid w:val="004B119F"/>
    <w:rsid w:val="004B4185"/>
    <w:rsid w:val="004C5541"/>
    <w:rsid w:val="004C6EEE"/>
    <w:rsid w:val="004C702B"/>
    <w:rsid w:val="004C7491"/>
    <w:rsid w:val="004D0033"/>
    <w:rsid w:val="004D016B"/>
    <w:rsid w:val="004D1B22"/>
    <w:rsid w:val="004D1DA1"/>
    <w:rsid w:val="004D23CC"/>
    <w:rsid w:val="004D36F2"/>
    <w:rsid w:val="004D44FF"/>
    <w:rsid w:val="004E1106"/>
    <w:rsid w:val="004E138F"/>
    <w:rsid w:val="004E4649"/>
    <w:rsid w:val="004E5C2B"/>
    <w:rsid w:val="004E704E"/>
    <w:rsid w:val="004E7289"/>
    <w:rsid w:val="004F00DD"/>
    <w:rsid w:val="004F0C3B"/>
    <w:rsid w:val="004F2133"/>
    <w:rsid w:val="004F39AE"/>
    <w:rsid w:val="004F5398"/>
    <w:rsid w:val="004F55F1"/>
    <w:rsid w:val="004F669E"/>
    <w:rsid w:val="004F6936"/>
    <w:rsid w:val="004F6A32"/>
    <w:rsid w:val="004F7B35"/>
    <w:rsid w:val="005009C1"/>
    <w:rsid w:val="00500E40"/>
    <w:rsid w:val="00500E51"/>
    <w:rsid w:val="00503DC6"/>
    <w:rsid w:val="00504393"/>
    <w:rsid w:val="00506F5D"/>
    <w:rsid w:val="00510C37"/>
    <w:rsid w:val="005126D0"/>
    <w:rsid w:val="00513109"/>
    <w:rsid w:val="00514667"/>
    <w:rsid w:val="0051568D"/>
    <w:rsid w:val="00516310"/>
    <w:rsid w:val="0052056B"/>
    <w:rsid w:val="0052151E"/>
    <w:rsid w:val="00524A27"/>
    <w:rsid w:val="00526AC7"/>
    <w:rsid w:val="00526C15"/>
    <w:rsid w:val="00530C04"/>
    <w:rsid w:val="00535609"/>
    <w:rsid w:val="00536499"/>
    <w:rsid w:val="00536ADD"/>
    <w:rsid w:val="0054074F"/>
    <w:rsid w:val="005429A9"/>
    <w:rsid w:val="00542A03"/>
    <w:rsid w:val="00543903"/>
    <w:rsid w:val="00543CE5"/>
    <w:rsid w:val="00543F11"/>
    <w:rsid w:val="00544491"/>
    <w:rsid w:val="0054469D"/>
    <w:rsid w:val="00546082"/>
    <w:rsid w:val="00546305"/>
    <w:rsid w:val="00547A95"/>
    <w:rsid w:val="0055119B"/>
    <w:rsid w:val="005518B7"/>
    <w:rsid w:val="00554842"/>
    <w:rsid w:val="00555FD2"/>
    <w:rsid w:val="00557CB9"/>
    <w:rsid w:val="00561202"/>
    <w:rsid w:val="00567357"/>
    <w:rsid w:val="00572031"/>
    <w:rsid w:val="00572282"/>
    <w:rsid w:val="00573CE3"/>
    <w:rsid w:val="00576E84"/>
    <w:rsid w:val="00580394"/>
    <w:rsid w:val="005809CD"/>
    <w:rsid w:val="00582B8C"/>
    <w:rsid w:val="00582F33"/>
    <w:rsid w:val="0058757E"/>
    <w:rsid w:val="00593A99"/>
    <w:rsid w:val="00594F30"/>
    <w:rsid w:val="00595105"/>
    <w:rsid w:val="00596A4B"/>
    <w:rsid w:val="00597507"/>
    <w:rsid w:val="00597EF7"/>
    <w:rsid w:val="005A2AF8"/>
    <w:rsid w:val="005A430A"/>
    <w:rsid w:val="005A479D"/>
    <w:rsid w:val="005B0074"/>
    <w:rsid w:val="005B1C6D"/>
    <w:rsid w:val="005B21B6"/>
    <w:rsid w:val="005B3A08"/>
    <w:rsid w:val="005B3F78"/>
    <w:rsid w:val="005B4DD1"/>
    <w:rsid w:val="005B7A63"/>
    <w:rsid w:val="005C01BE"/>
    <w:rsid w:val="005C0955"/>
    <w:rsid w:val="005C49DA"/>
    <w:rsid w:val="005C50F3"/>
    <w:rsid w:val="005C54B5"/>
    <w:rsid w:val="005C5D80"/>
    <w:rsid w:val="005C5D91"/>
    <w:rsid w:val="005D0458"/>
    <w:rsid w:val="005D07B8"/>
    <w:rsid w:val="005D1125"/>
    <w:rsid w:val="005D11AF"/>
    <w:rsid w:val="005D15AB"/>
    <w:rsid w:val="005D6597"/>
    <w:rsid w:val="005E038C"/>
    <w:rsid w:val="005E14E7"/>
    <w:rsid w:val="005E26A3"/>
    <w:rsid w:val="005E2ECB"/>
    <w:rsid w:val="005E3258"/>
    <w:rsid w:val="005E447E"/>
    <w:rsid w:val="005E4E32"/>
    <w:rsid w:val="005E4FD1"/>
    <w:rsid w:val="005E6041"/>
    <w:rsid w:val="005F0775"/>
    <w:rsid w:val="005F0CF5"/>
    <w:rsid w:val="005F21EB"/>
    <w:rsid w:val="005F5C52"/>
    <w:rsid w:val="005F5D4E"/>
    <w:rsid w:val="005F64CF"/>
    <w:rsid w:val="006041AD"/>
    <w:rsid w:val="00605908"/>
    <w:rsid w:val="00607850"/>
    <w:rsid w:val="00610D7C"/>
    <w:rsid w:val="0061332F"/>
    <w:rsid w:val="00613414"/>
    <w:rsid w:val="00620154"/>
    <w:rsid w:val="0062408D"/>
    <w:rsid w:val="006240CC"/>
    <w:rsid w:val="00624940"/>
    <w:rsid w:val="006254F8"/>
    <w:rsid w:val="00627DA7"/>
    <w:rsid w:val="00630DA4"/>
    <w:rsid w:val="00631CD4"/>
    <w:rsid w:val="00632597"/>
    <w:rsid w:val="00632811"/>
    <w:rsid w:val="00633598"/>
    <w:rsid w:val="00634CA7"/>
    <w:rsid w:val="00634D13"/>
    <w:rsid w:val="006358B4"/>
    <w:rsid w:val="00641724"/>
    <w:rsid w:val="006419AA"/>
    <w:rsid w:val="00644B1F"/>
    <w:rsid w:val="00644B7E"/>
    <w:rsid w:val="006454E6"/>
    <w:rsid w:val="00646235"/>
    <w:rsid w:val="00646A68"/>
    <w:rsid w:val="00647998"/>
    <w:rsid w:val="006505BD"/>
    <w:rsid w:val="006508EA"/>
    <w:rsid w:val="0065092E"/>
    <w:rsid w:val="00653A31"/>
    <w:rsid w:val="00654612"/>
    <w:rsid w:val="00654CFB"/>
    <w:rsid w:val="00654E96"/>
    <w:rsid w:val="00655339"/>
    <w:rsid w:val="006557A7"/>
    <w:rsid w:val="00655A4A"/>
    <w:rsid w:val="00656290"/>
    <w:rsid w:val="006601C9"/>
    <w:rsid w:val="006608D8"/>
    <w:rsid w:val="006621D7"/>
    <w:rsid w:val="0066302A"/>
    <w:rsid w:val="00667770"/>
    <w:rsid w:val="00670597"/>
    <w:rsid w:val="006706D0"/>
    <w:rsid w:val="00677574"/>
    <w:rsid w:val="0068034D"/>
    <w:rsid w:val="00682AF3"/>
    <w:rsid w:val="00683074"/>
    <w:rsid w:val="00683878"/>
    <w:rsid w:val="0068454C"/>
    <w:rsid w:val="00684FD3"/>
    <w:rsid w:val="00685548"/>
    <w:rsid w:val="00690997"/>
    <w:rsid w:val="00690D4A"/>
    <w:rsid w:val="00691B62"/>
    <w:rsid w:val="006933B5"/>
    <w:rsid w:val="00693D14"/>
    <w:rsid w:val="00693DE1"/>
    <w:rsid w:val="00695A93"/>
    <w:rsid w:val="00696F27"/>
    <w:rsid w:val="006A18C2"/>
    <w:rsid w:val="006A3383"/>
    <w:rsid w:val="006A467D"/>
    <w:rsid w:val="006A75C1"/>
    <w:rsid w:val="006B077C"/>
    <w:rsid w:val="006B0D36"/>
    <w:rsid w:val="006B16AF"/>
    <w:rsid w:val="006B2319"/>
    <w:rsid w:val="006B6803"/>
    <w:rsid w:val="006B6821"/>
    <w:rsid w:val="006C373E"/>
    <w:rsid w:val="006D0F16"/>
    <w:rsid w:val="006D2A3F"/>
    <w:rsid w:val="006D2FBC"/>
    <w:rsid w:val="006D74C4"/>
    <w:rsid w:val="006E138B"/>
    <w:rsid w:val="006E1867"/>
    <w:rsid w:val="006E1DFC"/>
    <w:rsid w:val="006E43BC"/>
    <w:rsid w:val="006E5717"/>
    <w:rsid w:val="006F0330"/>
    <w:rsid w:val="006F1FDC"/>
    <w:rsid w:val="006F2288"/>
    <w:rsid w:val="006F5B36"/>
    <w:rsid w:val="006F6B8C"/>
    <w:rsid w:val="007006AC"/>
    <w:rsid w:val="00700741"/>
    <w:rsid w:val="007013EF"/>
    <w:rsid w:val="00704C42"/>
    <w:rsid w:val="007055BD"/>
    <w:rsid w:val="00705FBD"/>
    <w:rsid w:val="007136A7"/>
    <w:rsid w:val="007173CA"/>
    <w:rsid w:val="00717426"/>
    <w:rsid w:val="00721445"/>
    <w:rsid w:val="007216AA"/>
    <w:rsid w:val="00721AB5"/>
    <w:rsid w:val="00721CFB"/>
    <w:rsid w:val="00721DEF"/>
    <w:rsid w:val="00724A43"/>
    <w:rsid w:val="007273AC"/>
    <w:rsid w:val="00731AD4"/>
    <w:rsid w:val="00733F9F"/>
    <w:rsid w:val="007346E4"/>
    <w:rsid w:val="007347B6"/>
    <w:rsid w:val="00740F22"/>
    <w:rsid w:val="00741977"/>
    <w:rsid w:val="00741CF0"/>
    <w:rsid w:val="00741F1A"/>
    <w:rsid w:val="00743A2C"/>
    <w:rsid w:val="007447DA"/>
    <w:rsid w:val="007450F8"/>
    <w:rsid w:val="0074696E"/>
    <w:rsid w:val="007474EA"/>
    <w:rsid w:val="00750135"/>
    <w:rsid w:val="00750EC2"/>
    <w:rsid w:val="00752B28"/>
    <w:rsid w:val="007541A9"/>
    <w:rsid w:val="00754E36"/>
    <w:rsid w:val="00755FD9"/>
    <w:rsid w:val="00756F24"/>
    <w:rsid w:val="00763139"/>
    <w:rsid w:val="00766F80"/>
    <w:rsid w:val="00770F37"/>
    <w:rsid w:val="007711A0"/>
    <w:rsid w:val="00772D5E"/>
    <w:rsid w:val="0077463E"/>
    <w:rsid w:val="0077509E"/>
    <w:rsid w:val="00776928"/>
    <w:rsid w:val="00776E0F"/>
    <w:rsid w:val="007774B1"/>
    <w:rsid w:val="00777BE1"/>
    <w:rsid w:val="007833D8"/>
    <w:rsid w:val="00784FDA"/>
    <w:rsid w:val="00785677"/>
    <w:rsid w:val="00786084"/>
    <w:rsid w:val="00786F16"/>
    <w:rsid w:val="00791BD7"/>
    <w:rsid w:val="007933F7"/>
    <w:rsid w:val="0079654D"/>
    <w:rsid w:val="00796E20"/>
    <w:rsid w:val="00797108"/>
    <w:rsid w:val="00797C32"/>
    <w:rsid w:val="007A11E8"/>
    <w:rsid w:val="007A453D"/>
    <w:rsid w:val="007A6218"/>
    <w:rsid w:val="007B0914"/>
    <w:rsid w:val="007B1374"/>
    <w:rsid w:val="007B32E5"/>
    <w:rsid w:val="007B3DB9"/>
    <w:rsid w:val="007B589F"/>
    <w:rsid w:val="007B6186"/>
    <w:rsid w:val="007B73BC"/>
    <w:rsid w:val="007C0890"/>
    <w:rsid w:val="007C1838"/>
    <w:rsid w:val="007C20B9"/>
    <w:rsid w:val="007C7301"/>
    <w:rsid w:val="007C7417"/>
    <w:rsid w:val="007C7696"/>
    <w:rsid w:val="007C7859"/>
    <w:rsid w:val="007C7F28"/>
    <w:rsid w:val="007D1466"/>
    <w:rsid w:val="007D2BDE"/>
    <w:rsid w:val="007D2FB6"/>
    <w:rsid w:val="007D3628"/>
    <w:rsid w:val="007D4785"/>
    <w:rsid w:val="007D49EB"/>
    <w:rsid w:val="007D5E1C"/>
    <w:rsid w:val="007E0837"/>
    <w:rsid w:val="007E0DE2"/>
    <w:rsid w:val="007E2FB7"/>
    <w:rsid w:val="007E3B98"/>
    <w:rsid w:val="007E417A"/>
    <w:rsid w:val="007E66FF"/>
    <w:rsid w:val="007F31B6"/>
    <w:rsid w:val="007F546C"/>
    <w:rsid w:val="007F625F"/>
    <w:rsid w:val="007F65B3"/>
    <w:rsid w:val="007F665E"/>
    <w:rsid w:val="00800412"/>
    <w:rsid w:val="0080587B"/>
    <w:rsid w:val="00806468"/>
    <w:rsid w:val="008119CA"/>
    <w:rsid w:val="00811BBF"/>
    <w:rsid w:val="008130C4"/>
    <w:rsid w:val="00813F46"/>
    <w:rsid w:val="008155F0"/>
    <w:rsid w:val="00816735"/>
    <w:rsid w:val="00817DF2"/>
    <w:rsid w:val="00820141"/>
    <w:rsid w:val="00820E0C"/>
    <w:rsid w:val="0082252D"/>
    <w:rsid w:val="00823275"/>
    <w:rsid w:val="0082366F"/>
    <w:rsid w:val="00823FB3"/>
    <w:rsid w:val="008256BE"/>
    <w:rsid w:val="008309F9"/>
    <w:rsid w:val="00832BDD"/>
    <w:rsid w:val="008338A2"/>
    <w:rsid w:val="00835340"/>
    <w:rsid w:val="008365A7"/>
    <w:rsid w:val="00841AA9"/>
    <w:rsid w:val="008474FE"/>
    <w:rsid w:val="00851E48"/>
    <w:rsid w:val="008522D3"/>
    <w:rsid w:val="0085232E"/>
    <w:rsid w:val="00853EE4"/>
    <w:rsid w:val="00855535"/>
    <w:rsid w:val="00857C5A"/>
    <w:rsid w:val="00860BCC"/>
    <w:rsid w:val="0086255E"/>
    <w:rsid w:val="008627CB"/>
    <w:rsid w:val="008633F0"/>
    <w:rsid w:val="00863E48"/>
    <w:rsid w:val="00865E34"/>
    <w:rsid w:val="00867D9D"/>
    <w:rsid w:val="0087261B"/>
    <w:rsid w:val="00872C54"/>
    <w:rsid w:val="00872E0A"/>
    <w:rsid w:val="00873594"/>
    <w:rsid w:val="0087490C"/>
    <w:rsid w:val="00874B29"/>
    <w:rsid w:val="00875285"/>
    <w:rsid w:val="008848D3"/>
    <w:rsid w:val="00884B62"/>
    <w:rsid w:val="0088529C"/>
    <w:rsid w:val="00886FD7"/>
    <w:rsid w:val="00887903"/>
    <w:rsid w:val="00890CBD"/>
    <w:rsid w:val="0089270A"/>
    <w:rsid w:val="00893AF6"/>
    <w:rsid w:val="00894BC4"/>
    <w:rsid w:val="00894C68"/>
    <w:rsid w:val="00896AD8"/>
    <w:rsid w:val="008A2449"/>
    <w:rsid w:val="008A28A8"/>
    <w:rsid w:val="008A5B32"/>
    <w:rsid w:val="008A5D60"/>
    <w:rsid w:val="008B2029"/>
    <w:rsid w:val="008B2EE4"/>
    <w:rsid w:val="008B3821"/>
    <w:rsid w:val="008B4D3D"/>
    <w:rsid w:val="008B57C7"/>
    <w:rsid w:val="008C062B"/>
    <w:rsid w:val="008C063C"/>
    <w:rsid w:val="008C2F92"/>
    <w:rsid w:val="008C589D"/>
    <w:rsid w:val="008C62F3"/>
    <w:rsid w:val="008C6804"/>
    <w:rsid w:val="008C6D51"/>
    <w:rsid w:val="008D1B97"/>
    <w:rsid w:val="008D2846"/>
    <w:rsid w:val="008D3224"/>
    <w:rsid w:val="008D3D3F"/>
    <w:rsid w:val="008D4236"/>
    <w:rsid w:val="008D462F"/>
    <w:rsid w:val="008D5C45"/>
    <w:rsid w:val="008D6DCF"/>
    <w:rsid w:val="008E0614"/>
    <w:rsid w:val="008E0ABD"/>
    <w:rsid w:val="008E1A39"/>
    <w:rsid w:val="008E4376"/>
    <w:rsid w:val="008E588E"/>
    <w:rsid w:val="008E7A0A"/>
    <w:rsid w:val="008E7B49"/>
    <w:rsid w:val="008F067B"/>
    <w:rsid w:val="008F59F6"/>
    <w:rsid w:val="00900719"/>
    <w:rsid w:val="009017AC"/>
    <w:rsid w:val="00902A9A"/>
    <w:rsid w:val="009048B3"/>
    <w:rsid w:val="00904A1C"/>
    <w:rsid w:val="00905030"/>
    <w:rsid w:val="00905F80"/>
    <w:rsid w:val="00906490"/>
    <w:rsid w:val="00906776"/>
    <w:rsid w:val="009111B2"/>
    <w:rsid w:val="009151F5"/>
    <w:rsid w:val="00915970"/>
    <w:rsid w:val="009172C7"/>
    <w:rsid w:val="0092110D"/>
    <w:rsid w:val="00924AE1"/>
    <w:rsid w:val="009257ED"/>
    <w:rsid w:val="009269B1"/>
    <w:rsid w:val="00926D9D"/>
    <w:rsid w:val="0092724D"/>
    <w:rsid w:val="009272B3"/>
    <w:rsid w:val="009315BE"/>
    <w:rsid w:val="0093338F"/>
    <w:rsid w:val="0093474A"/>
    <w:rsid w:val="00935AB3"/>
    <w:rsid w:val="00937BD9"/>
    <w:rsid w:val="0094146E"/>
    <w:rsid w:val="00947B1A"/>
    <w:rsid w:val="00950E2C"/>
    <w:rsid w:val="00951D50"/>
    <w:rsid w:val="009525EB"/>
    <w:rsid w:val="0095470B"/>
    <w:rsid w:val="00954874"/>
    <w:rsid w:val="00954D01"/>
    <w:rsid w:val="0095615A"/>
    <w:rsid w:val="00961400"/>
    <w:rsid w:val="00963646"/>
    <w:rsid w:val="00963EBF"/>
    <w:rsid w:val="00965234"/>
    <w:rsid w:val="0096632D"/>
    <w:rsid w:val="00967124"/>
    <w:rsid w:val="00967335"/>
    <w:rsid w:val="00970B0F"/>
    <w:rsid w:val="009718C7"/>
    <w:rsid w:val="00972370"/>
    <w:rsid w:val="0097559F"/>
    <w:rsid w:val="009761EA"/>
    <w:rsid w:val="009774E4"/>
    <w:rsid w:val="0097761E"/>
    <w:rsid w:val="00977C65"/>
    <w:rsid w:val="00982454"/>
    <w:rsid w:val="009825B4"/>
    <w:rsid w:val="00982CF0"/>
    <w:rsid w:val="009833DB"/>
    <w:rsid w:val="009853E1"/>
    <w:rsid w:val="00986E6B"/>
    <w:rsid w:val="00990032"/>
    <w:rsid w:val="00990B19"/>
    <w:rsid w:val="0099153B"/>
    <w:rsid w:val="00991769"/>
    <w:rsid w:val="0099232C"/>
    <w:rsid w:val="009931F2"/>
    <w:rsid w:val="00993F41"/>
    <w:rsid w:val="00994386"/>
    <w:rsid w:val="009945B6"/>
    <w:rsid w:val="00994791"/>
    <w:rsid w:val="009968AE"/>
    <w:rsid w:val="009A1012"/>
    <w:rsid w:val="009A13D8"/>
    <w:rsid w:val="009A2608"/>
    <w:rsid w:val="009A279E"/>
    <w:rsid w:val="009A3015"/>
    <w:rsid w:val="009A3490"/>
    <w:rsid w:val="009A7E82"/>
    <w:rsid w:val="009B097B"/>
    <w:rsid w:val="009B0A6F"/>
    <w:rsid w:val="009B0A94"/>
    <w:rsid w:val="009B1CB6"/>
    <w:rsid w:val="009B2210"/>
    <w:rsid w:val="009B2607"/>
    <w:rsid w:val="009B2AE8"/>
    <w:rsid w:val="009B3F3D"/>
    <w:rsid w:val="009B5622"/>
    <w:rsid w:val="009B59E9"/>
    <w:rsid w:val="009B6102"/>
    <w:rsid w:val="009B6C7D"/>
    <w:rsid w:val="009B70AA"/>
    <w:rsid w:val="009C1A3D"/>
    <w:rsid w:val="009C1CB1"/>
    <w:rsid w:val="009C5E77"/>
    <w:rsid w:val="009C7A7E"/>
    <w:rsid w:val="009D02E8"/>
    <w:rsid w:val="009D0518"/>
    <w:rsid w:val="009D138E"/>
    <w:rsid w:val="009D51D0"/>
    <w:rsid w:val="009D645A"/>
    <w:rsid w:val="009D70A4"/>
    <w:rsid w:val="009D7A52"/>
    <w:rsid w:val="009D7B14"/>
    <w:rsid w:val="009E08D1"/>
    <w:rsid w:val="009E1B95"/>
    <w:rsid w:val="009E2E24"/>
    <w:rsid w:val="009E496F"/>
    <w:rsid w:val="009E4B0D"/>
    <w:rsid w:val="009E5250"/>
    <w:rsid w:val="009E7A69"/>
    <w:rsid w:val="009E7F92"/>
    <w:rsid w:val="009F02A3"/>
    <w:rsid w:val="009F2F27"/>
    <w:rsid w:val="009F34AA"/>
    <w:rsid w:val="009F6BCB"/>
    <w:rsid w:val="009F7352"/>
    <w:rsid w:val="009F7B78"/>
    <w:rsid w:val="00A0057A"/>
    <w:rsid w:val="00A02FA1"/>
    <w:rsid w:val="00A04CCE"/>
    <w:rsid w:val="00A07421"/>
    <w:rsid w:val="00A0776B"/>
    <w:rsid w:val="00A105F2"/>
    <w:rsid w:val="00A10FB9"/>
    <w:rsid w:val="00A11421"/>
    <w:rsid w:val="00A11FD8"/>
    <w:rsid w:val="00A1389F"/>
    <w:rsid w:val="00A14996"/>
    <w:rsid w:val="00A157B1"/>
    <w:rsid w:val="00A20197"/>
    <w:rsid w:val="00A22229"/>
    <w:rsid w:val="00A24442"/>
    <w:rsid w:val="00A249DE"/>
    <w:rsid w:val="00A252B9"/>
    <w:rsid w:val="00A32577"/>
    <w:rsid w:val="00A330BB"/>
    <w:rsid w:val="00A33B53"/>
    <w:rsid w:val="00A34ACD"/>
    <w:rsid w:val="00A36C90"/>
    <w:rsid w:val="00A416BE"/>
    <w:rsid w:val="00A44882"/>
    <w:rsid w:val="00A45125"/>
    <w:rsid w:val="00A50EDF"/>
    <w:rsid w:val="00A513A9"/>
    <w:rsid w:val="00A545DF"/>
    <w:rsid w:val="00A54715"/>
    <w:rsid w:val="00A6061C"/>
    <w:rsid w:val="00A62D44"/>
    <w:rsid w:val="00A67263"/>
    <w:rsid w:val="00A7161C"/>
    <w:rsid w:val="00A71D74"/>
    <w:rsid w:val="00A7468E"/>
    <w:rsid w:val="00A748C6"/>
    <w:rsid w:val="00A74B73"/>
    <w:rsid w:val="00A7776F"/>
    <w:rsid w:val="00A77AA3"/>
    <w:rsid w:val="00A8236D"/>
    <w:rsid w:val="00A83F76"/>
    <w:rsid w:val="00A854EB"/>
    <w:rsid w:val="00A872E5"/>
    <w:rsid w:val="00A87ECD"/>
    <w:rsid w:val="00A91406"/>
    <w:rsid w:val="00A946B4"/>
    <w:rsid w:val="00A96E65"/>
    <w:rsid w:val="00A96ECE"/>
    <w:rsid w:val="00A97C72"/>
    <w:rsid w:val="00AA310B"/>
    <w:rsid w:val="00AA456E"/>
    <w:rsid w:val="00AA63D4"/>
    <w:rsid w:val="00AB06E8"/>
    <w:rsid w:val="00AB0BF1"/>
    <w:rsid w:val="00AB1A4F"/>
    <w:rsid w:val="00AB1CD3"/>
    <w:rsid w:val="00AB297B"/>
    <w:rsid w:val="00AB352F"/>
    <w:rsid w:val="00AB6F0E"/>
    <w:rsid w:val="00AB7BEA"/>
    <w:rsid w:val="00AC274B"/>
    <w:rsid w:val="00AC4764"/>
    <w:rsid w:val="00AC6D36"/>
    <w:rsid w:val="00AD0CBA"/>
    <w:rsid w:val="00AD26E2"/>
    <w:rsid w:val="00AD58C0"/>
    <w:rsid w:val="00AD5958"/>
    <w:rsid w:val="00AD6F2D"/>
    <w:rsid w:val="00AD784C"/>
    <w:rsid w:val="00AE035E"/>
    <w:rsid w:val="00AE126A"/>
    <w:rsid w:val="00AE1BAE"/>
    <w:rsid w:val="00AE27C0"/>
    <w:rsid w:val="00AE3005"/>
    <w:rsid w:val="00AE3BD5"/>
    <w:rsid w:val="00AE4B97"/>
    <w:rsid w:val="00AE563E"/>
    <w:rsid w:val="00AE59A0"/>
    <w:rsid w:val="00AE7145"/>
    <w:rsid w:val="00AF0C57"/>
    <w:rsid w:val="00AF26F3"/>
    <w:rsid w:val="00AF2BE6"/>
    <w:rsid w:val="00AF33E5"/>
    <w:rsid w:val="00AF3BD8"/>
    <w:rsid w:val="00AF5F04"/>
    <w:rsid w:val="00B00672"/>
    <w:rsid w:val="00B01B4D"/>
    <w:rsid w:val="00B04489"/>
    <w:rsid w:val="00B06571"/>
    <w:rsid w:val="00B068BA"/>
    <w:rsid w:val="00B07217"/>
    <w:rsid w:val="00B130CB"/>
    <w:rsid w:val="00B1347B"/>
    <w:rsid w:val="00B13851"/>
    <w:rsid w:val="00B13B1C"/>
    <w:rsid w:val="00B14B5F"/>
    <w:rsid w:val="00B21F90"/>
    <w:rsid w:val="00B22291"/>
    <w:rsid w:val="00B2308A"/>
    <w:rsid w:val="00B23F9A"/>
    <w:rsid w:val="00B2417B"/>
    <w:rsid w:val="00B24687"/>
    <w:rsid w:val="00B24BC9"/>
    <w:rsid w:val="00B24E6F"/>
    <w:rsid w:val="00B26CB5"/>
    <w:rsid w:val="00B2752E"/>
    <w:rsid w:val="00B307CC"/>
    <w:rsid w:val="00B326B7"/>
    <w:rsid w:val="00B332A8"/>
    <w:rsid w:val="00B3588E"/>
    <w:rsid w:val="00B409CD"/>
    <w:rsid w:val="00B416C4"/>
    <w:rsid w:val="00B4198F"/>
    <w:rsid w:val="00B41B52"/>
    <w:rsid w:val="00B41F3D"/>
    <w:rsid w:val="00B431E8"/>
    <w:rsid w:val="00B43588"/>
    <w:rsid w:val="00B45141"/>
    <w:rsid w:val="00B50EDA"/>
    <w:rsid w:val="00B517DD"/>
    <w:rsid w:val="00B519CD"/>
    <w:rsid w:val="00B5273A"/>
    <w:rsid w:val="00B57329"/>
    <w:rsid w:val="00B57646"/>
    <w:rsid w:val="00B60E61"/>
    <w:rsid w:val="00B62B50"/>
    <w:rsid w:val="00B635B7"/>
    <w:rsid w:val="00B63AE8"/>
    <w:rsid w:val="00B65950"/>
    <w:rsid w:val="00B66D83"/>
    <w:rsid w:val="00B66ED6"/>
    <w:rsid w:val="00B672C0"/>
    <w:rsid w:val="00B676FD"/>
    <w:rsid w:val="00B678B6"/>
    <w:rsid w:val="00B706E8"/>
    <w:rsid w:val="00B75646"/>
    <w:rsid w:val="00B7629E"/>
    <w:rsid w:val="00B84B6F"/>
    <w:rsid w:val="00B860E3"/>
    <w:rsid w:val="00B86265"/>
    <w:rsid w:val="00B869ED"/>
    <w:rsid w:val="00B90729"/>
    <w:rsid w:val="00B907DA"/>
    <w:rsid w:val="00B91FFE"/>
    <w:rsid w:val="00B950BC"/>
    <w:rsid w:val="00B95AB9"/>
    <w:rsid w:val="00B9714C"/>
    <w:rsid w:val="00BA29AD"/>
    <w:rsid w:val="00BA33CF"/>
    <w:rsid w:val="00BA3F8D"/>
    <w:rsid w:val="00BB186F"/>
    <w:rsid w:val="00BB1A69"/>
    <w:rsid w:val="00BB43F0"/>
    <w:rsid w:val="00BB5B46"/>
    <w:rsid w:val="00BB7640"/>
    <w:rsid w:val="00BB7A10"/>
    <w:rsid w:val="00BC1414"/>
    <w:rsid w:val="00BC60BE"/>
    <w:rsid w:val="00BC7468"/>
    <w:rsid w:val="00BC7D4F"/>
    <w:rsid w:val="00BC7ED7"/>
    <w:rsid w:val="00BD2850"/>
    <w:rsid w:val="00BD43C7"/>
    <w:rsid w:val="00BD5531"/>
    <w:rsid w:val="00BD6049"/>
    <w:rsid w:val="00BD6284"/>
    <w:rsid w:val="00BE28D2"/>
    <w:rsid w:val="00BE4A64"/>
    <w:rsid w:val="00BE5E43"/>
    <w:rsid w:val="00BF4393"/>
    <w:rsid w:val="00BF557D"/>
    <w:rsid w:val="00BF7F58"/>
    <w:rsid w:val="00C01381"/>
    <w:rsid w:val="00C01AB1"/>
    <w:rsid w:val="00C01D6C"/>
    <w:rsid w:val="00C026A0"/>
    <w:rsid w:val="00C03EA4"/>
    <w:rsid w:val="00C04F42"/>
    <w:rsid w:val="00C06137"/>
    <w:rsid w:val="00C06929"/>
    <w:rsid w:val="00C0694A"/>
    <w:rsid w:val="00C079B8"/>
    <w:rsid w:val="00C10037"/>
    <w:rsid w:val="00C110BC"/>
    <w:rsid w:val="00C123EA"/>
    <w:rsid w:val="00C12A49"/>
    <w:rsid w:val="00C133EE"/>
    <w:rsid w:val="00C149D0"/>
    <w:rsid w:val="00C1618C"/>
    <w:rsid w:val="00C231A0"/>
    <w:rsid w:val="00C26588"/>
    <w:rsid w:val="00C27DE9"/>
    <w:rsid w:val="00C32989"/>
    <w:rsid w:val="00C33388"/>
    <w:rsid w:val="00C35484"/>
    <w:rsid w:val="00C36600"/>
    <w:rsid w:val="00C370BC"/>
    <w:rsid w:val="00C4173A"/>
    <w:rsid w:val="00C440E7"/>
    <w:rsid w:val="00C50DED"/>
    <w:rsid w:val="00C52217"/>
    <w:rsid w:val="00C5249C"/>
    <w:rsid w:val="00C567A8"/>
    <w:rsid w:val="00C602FF"/>
    <w:rsid w:val="00C61174"/>
    <w:rsid w:val="00C6148F"/>
    <w:rsid w:val="00C621B1"/>
    <w:rsid w:val="00C62F7A"/>
    <w:rsid w:val="00C63B9C"/>
    <w:rsid w:val="00C661EF"/>
    <w:rsid w:val="00C6682F"/>
    <w:rsid w:val="00C67BF4"/>
    <w:rsid w:val="00C7275E"/>
    <w:rsid w:val="00C74C5D"/>
    <w:rsid w:val="00C769A0"/>
    <w:rsid w:val="00C84F9A"/>
    <w:rsid w:val="00C85EED"/>
    <w:rsid w:val="00C863C4"/>
    <w:rsid w:val="00C87044"/>
    <w:rsid w:val="00C920EA"/>
    <w:rsid w:val="00C93C3E"/>
    <w:rsid w:val="00C96B67"/>
    <w:rsid w:val="00CA12E3"/>
    <w:rsid w:val="00CA1476"/>
    <w:rsid w:val="00CA6611"/>
    <w:rsid w:val="00CA6AE6"/>
    <w:rsid w:val="00CA782F"/>
    <w:rsid w:val="00CB187B"/>
    <w:rsid w:val="00CB2835"/>
    <w:rsid w:val="00CB3285"/>
    <w:rsid w:val="00CB4500"/>
    <w:rsid w:val="00CB4C08"/>
    <w:rsid w:val="00CB4E7A"/>
    <w:rsid w:val="00CC0887"/>
    <w:rsid w:val="00CC0C72"/>
    <w:rsid w:val="00CC142A"/>
    <w:rsid w:val="00CC2BFD"/>
    <w:rsid w:val="00CD1A9A"/>
    <w:rsid w:val="00CD324C"/>
    <w:rsid w:val="00CD3476"/>
    <w:rsid w:val="00CD3D45"/>
    <w:rsid w:val="00CD6212"/>
    <w:rsid w:val="00CD64DF"/>
    <w:rsid w:val="00CE225F"/>
    <w:rsid w:val="00CE6862"/>
    <w:rsid w:val="00CF2F50"/>
    <w:rsid w:val="00CF3794"/>
    <w:rsid w:val="00CF4148"/>
    <w:rsid w:val="00CF6198"/>
    <w:rsid w:val="00CF7E87"/>
    <w:rsid w:val="00D02919"/>
    <w:rsid w:val="00D04C61"/>
    <w:rsid w:val="00D05B8D"/>
    <w:rsid w:val="00D05B9B"/>
    <w:rsid w:val="00D065A2"/>
    <w:rsid w:val="00D06608"/>
    <w:rsid w:val="00D06656"/>
    <w:rsid w:val="00D079AA"/>
    <w:rsid w:val="00D07F00"/>
    <w:rsid w:val="00D1130F"/>
    <w:rsid w:val="00D12CEE"/>
    <w:rsid w:val="00D17B72"/>
    <w:rsid w:val="00D26C57"/>
    <w:rsid w:val="00D26F2F"/>
    <w:rsid w:val="00D27943"/>
    <w:rsid w:val="00D30A13"/>
    <w:rsid w:val="00D30A69"/>
    <w:rsid w:val="00D3185C"/>
    <w:rsid w:val="00D31BF6"/>
    <w:rsid w:val="00D3205F"/>
    <w:rsid w:val="00D3318E"/>
    <w:rsid w:val="00D33E72"/>
    <w:rsid w:val="00D35BD6"/>
    <w:rsid w:val="00D35D2D"/>
    <w:rsid w:val="00D361B5"/>
    <w:rsid w:val="00D4012C"/>
    <w:rsid w:val="00D402DB"/>
    <w:rsid w:val="00D411A2"/>
    <w:rsid w:val="00D4606D"/>
    <w:rsid w:val="00D50B9C"/>
    <w:rsid w:val="00D52775"/>
    <w:rsid w:val="00D5291F"/>
    <w:rsid w:val="00D52D73"/>
    <w:rsid w:val="00D52E58"/>
    <w:rsid w:val="00D56B20"/>
    <w:rsid w:val="00D578B3"/>
    <w:rsid w:val="00D618F4"/>
    <w:rsid w:val="00D64BE2"/>
    <w:rsid w:val="00D64CEB"/>
    <w:rsid w:val="00D66DE9"/>
    <w:rsid w:val="00D714CC"/>
    <w:rsid w:val="00D75EA7"/>
    <w:rsid w:val="00D81ADF"/>
    <w:rsid w:val="00D81F21"/>
    <w:rsid w:val="00D8423D"/>
    <w:rsid w:val="00D84658"/>
    <w:rsid w:val="00D864F2"/>
    <w:rsid w:val="00D943F8"/>
    <w:rsid w:val="00D95470"/>
    <w:rsid w:val="00D9640F"/>
    <w:rsid w:val="00D96B55"/>
    <w:rsid w:val="00DA2619"/>
    <w:rsid w:val="00DA2E57"/>
    <w:rsid w:val="00DA3DF2"/>
    <w:rsid w:val="00DA4239"/>
    <w:rsid w:val="00DA65DE"/>
    <w:rsid w:val="00DB0B61"/>
    <w:rsid w:val="00DB1474"/>
    <w:rsid w:val="00DB2249"/>
    <w:rsid w:val="00DB2962"/>
    <w:rsid w:val="00DB2C28"/>
    <w:rsid w:val="00DB52FB"/>
    <w:rsid w:val="00DB61C7"/>
    <w:rsid w:val="00DC013B"/>
    <w:rsid w:val="00DC090B"/>
    <w:rsid w:val="00DC1679"/>
    <w:rsid w:val="00DC219B"/>
    <w:rsid w:val="00DC2CF1"/>
    <w:rsid w:val="00DC2DF4"/>
    <w:rsid w:val="00DC3098"/>
    <w:rsid w:val="00DC3A7C"/>
    <w:rsid w:val="00DC4FCF"/>
    <w:rsid w:val="00DC50E0"/>
    <w:rsid w:val="00DC6386"/>
    <w:rsid w:val="00DD1130"/>
    <w:rsid w:val="00DD1951"/>
    <w:rsid w:val="00DD2E14"/>
    <w:rsid w:val="00DD487D"/>
    <w:rsid w:val="00DD4E83"/>
    <w:rsid w:val="00DD6628"/>
    <w:rsid w:val="00DD6945"/>
    <w:rsid w:val="00DE1A92"/>
    <w:rsid w:val="00DE2D04"/>
    <w:rsid w:val="00DE3250"/>
    <w:rsid w:val="00DE3DD2"/>
    <w:rsid w:val="00DE40E8"/>
    <w:rsid w:val="00DE6028"/>
    <w:rsid w:val="00DE6C85"/>
    <w:rsid w:val="00DE78A3"/>
    <w:rsid w:val="00DF07CB"/>
    <w:rsid w:val="00DF1A71"/>
    <w:rsid w:val="00DF2BF9"/>
    <w:rsid w:val="00DF50FC"/>
    <w:rsid w:val="00DF5AD1"/>
    <w:rsid w:val="00DF68C7"/>
    <w:rsid w:val="00DF731A"/>
    <w:rsid w:val="00DF7F39"/>
    <w:rsid w:val="00E0105B"/>
    <w:rsid w:val="00E06B75"/>
    <w:rsid w:val="00E07AE1"/>
    <w:rsid w:val="00E11332"/>
    <w:rsid w:val="00E11352"/>
    <w:rsid w:val="00E15179"/>
    <w:rsid w:val="00E170DC"/>
    <w:rsid w:val="00E17546"/>
    <w:rsid w:val="00E210B5"/>
    <w:rsid w:val="00E261B3"/>
    <w:rsid w:val="00E26818"/>
    <w:rsid w:val="00E26A82"/>
    <w:rsid w:val="00E27FFC"/>
    <w:rsid w:val="00E30B15"/>
    <w:rsid w:val="00E33237"/>
    <w:rsid w:val="00E35E50"/>
    <w:rsid w:val="00E3681D"/>
    <w:rsid w:val="00E40181"/>
    <w:rsid w:val="00E42BA7"/>
    <w:rsid w:val="00E43E40"/>
    <w:rsid w:val="00E44930"/>
    <w:rsid w:val="00E513E9"/>
    <w:rsid w:val="00E54950"/>
    <w:rsid w:val="00E55FB3"/>
    <w:rsid w:val="00E56A01"/>
    <w:rsid w:val="00E60ACD"/>
    <w:rsid w:val="00E6136E"/>
    <w:rsid w:val="00E613E2"/>
    <w:rsid w:val="00E629A1"/>
    <w:rsid w:val="00E64159"/>
    <w:rsid w:val="00E6611C"/>
    <w:rsid w:val="00E6794C"/>
    <w:rsid w:val="00E71591"/>
    <w:rsid w:val="00E71CEB"/>
    <w:rsid w:val="00E7474F"/>
    <w:rsid w:val="00E75B2B"/>
    <w:rsid w:val="00E773BF"/>
    <w:rsid w:val="00E77901"/>
    <w:rsid w:val="00E80DE3"/>
    <w:rsid w:val="00E82C55"/>
    <w:rsid w:val="00E83184"/>
    <w:rsid w:val="00E8787E"/>
    <w:rsid w:val="00E879E3"/>
    <w:rsid w:val="00E92AC3"/>
    <w:rsid w:val="00EA1CAF"/>
    <w:rsid w:val="00EA2F6A"/>
    <w:rsid w:val="00EA6DEB"/>
    <w:rsid w:val="00EB00E0"/>
    <w:rsid w:val="00EB05D5"/>
    <w:rsid w:val="00EB1931"/>
    <w:rsid w:val="00EC0199"/>
    <w:rsid w:val="00EC059F"/>
    <w:rsid w:val="00EC1F24"/>
    <w:rsid w:val="00EC20FF"/>
    <w:rsid w:val="00EC22F6"/>
    <w:rsid w:val="00EC2490"/>
    <w:rsid w:val="00EC4BA2"/>
    <w:rsid w:val="00ED195F"/>
    <w:rsid w:val="00ED38BF"/>
    <w:rsid w:val="00ED4D45"/>
    <w:rsid w:val="00ED5743"/>
    <w:rsid w:val="00ED5B9B"/>
    <w:rsid w:val="00ED6BAD"/>
    <w:rsid w:val="00ED7447"/>
    <w:rsid w:val="00EE00D6"/>
    <w:rsid w:val="00EE0977"/>
    <w:rsid w:val="00EE11E7"/>
    <w:rsid w:val="00EE1488"/>
    <w:rsid w:val="00EE1730"/>
    <w:rsid w:val="00EE29AD"/>
    <w:rsid w:val="00EE3E24"/>
    <w:rsid w:val="00EE4D5D"/>
    <w:rsid w:val="00EE5131"/>
    <w:rsid w:val="00EF109B"/>
    <w:rsid w:val="00EF201C"/>
    <w:rsid w:val="00EF2B98"/>
    <w:rsid w:val="00EF2C72"/>
    <w:rsid w:val="00EF364D"/>
    <w:rsid w:val="00EF36AF"/>
    <w:rsid w:val="00EF37A8"/>
    <w:rsid w:val="00EF4666"/>
    <w:rsid w:val="00EF55AE"/>
    <w:rsid w:val="00EF59A3"/>
    <w:rsid w:val="00EF6675"/>
    <w:rsid w:val="00F00460"/>
    <w:rsid w:val="00F0063D"/>
    <w:rsid w:val="00F00F9C"/>
    <w:rsid w:val="00F01E5F"/>
    <w:rsid w:val="00F024F3"/>
    <w:rsid w:val="00F029DC"/>
    <w:rsid w:val="00F02ABA"/>
    <w:rsid w:val="00F03701"/>
    <w:rsid w:val="00F0437A"/>
    <w:rsid w:val="00F07D8D"/>
    <w:rsid w:val="00F101B8"/>
    <w:rsid w:val="00F10C7D"/>
    <w:rsid w:val="00F11037"/>
    <w:rsid w:val="00F13EDF"/>
    <w:rsid w:val="00F15F5F"/>
    <w:rsid w:val="00F16F1B"/>
    <w:rsid w:val="00F20E10"/>
    <w:rsid w:val="00F21CFD"/>
    <w:rsid w:val="00F250A9"/>
    <w:rsid w:val="00F267AF"/>
    <w:rsid w:val="00F2703E"/>
    <w:rsid w:val="00F301B8"/>
    <w:rsid w:val="00F30FF4"/>
    <w:rsid w:val="00F3122E"/>
    <w:rsid w:val="00F32368"/>
    <w:rsid w:val="00F331AD"/>
    <w:rsid w:val="00F35287"/>
    <w:rsid w:val="00F40A70"/>
    <w:rsid w:val="00F40F0B"/>
    <w:rsid w:val="00F43A37"/>
    <w:rsid w:val="00F4641B"/>
    <w:rsid w:val="00F46EB8"/>
    <w:rsid w:val="00F476B8"/>
    <w:rsid w:val="00F50CD1"/>
    <w:rsid w:val="00F511E4"/>
    <w:rsid w:val="00F52D09"/>
    <w:rsid w:val="00F52E08"/>
    <w:rsid w:val="00F53A66"/>
    <w:rsid w:val="00F53F6B"/>
    <w:rsid w:val="00F541DF"/>
    <w:rsid w:val="00F5462D"/>
    <w:rsid w:val="00F55B21"/>
    <w:rsid w:val="00F55EC5"/>
    <w:rsid w:val="00F56EF6"/>
    <w:rsid w:val="00F5799A"/>
    <w:rsid w:val="00F60082"/>
    <w:rsid w:val="00F61A9F"/>
    <w:rsid w:val="00F61B5F"/>
    <w:rsid w:val="00F64696"/>
    <w:rsid w:val="00F65AA9"/>
    <w:rsid w:val="00F664AB"/>
    <w:rsid w:val="00F6768F"/>
    <w:rsid w:val="00F713C3"/>
    <w:rsid w:val="00F72115"/>
    <w:rsid w:val="00F72C14"/>
    <w:rsid w:val="00F72C2C"/>
    <w:rsid w:val="00F73EF7"/>
    <w:rsid w:val="00F741F2"/>
    <w:rsid w:val="00F76CAB"/>
    <w:rsid w:val="00F772C6"/>
    <w:rsid w:val="00F77F59"/>
    <w:rsid w:val="00F80890"/>
    <w:rsid w:val="00F815B5"/>
    <w:rsid w:val="00F83B0E"/>
    <w:rsid w:val="00F85195"/>
    <w:rsid w:val="00F868E3"/>
    <w:rsid w:val="00F92B41"/>
    <w:rsid w:val="00F938BA"/>
    <w:rsid w:val="00F972B1"/>
    <w:rsid w:val="00F97919"/>
    <w:rsid w:val="00FA2C46"/>
    <w:rsid w:val="00FA3525"/>
    <w:rsid w:val="00FA5A53"/>
    <w:rsid w:val="00FB313E"/>
    <w:rsid w:val="00FB3501"/>
    <w:rsid w:val="00FB43C4"/>
    <w:rsid w:val="00FB4769"/>
    <w:rsid w:val="00FB4CDA"/>
    <w:rsid w:val="00FB5B4E"/>
    <w:rsid w:val="00FB6481"/>
    <w:rsid w:val="00FB6D36"/>
    <w:rsid w:val="00FC0965"/>
    <w:rsid w:val="00FC0F81"/>
    <w:rsid w:val="00FC1CF5"/>
    <w:rsid w:val="00FC252F"/>
    <w:rsid w:val="00FC395C"/>
    <w:rsid w:val="00FC5B90"/>
    <w:rsid w:val="00FC5E8E"/>
    <w:rsid w:val="00FD3766"/>
    <w:rsid w:val="00FD47C4"/>
    <w:rsid w:val="00FE03B1"/>
    <w:rsid w:val="00FE08DE"/>
    <w:rsid w:val="00FE2DCF"/>
    <w:rsid w:val="00FE3FA7"/>
    <w:rsid w:val="00FE7144"/>
    <w:rsid w:val="00FF2A4E"/>
    <w:rsid w:val="00FF2FCE"/>
    <w:rsid w:val="00FF4F7D"/>
    <w:rsid w:val="00FF6D9D"/>
    <w:rsid w:val="00FF7DD5"/>
    <w:rsid w:val="27B9D821"/>
    <w:rsid w:val="3F0EB9B4"/>
    <w:rsid w:val="427A9247"/>
    <w:rsid w:val="578C35CB"/>
    <w:rsid w:val="769617A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09C5E"/>
  <w15:docId w15:val="{3803D204-64B2-4B87-B829-B5BB15BA6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3D7E30"/>
    <w:pPr>
      <w:spacing w:after="120" w:line="280" w:lineRule="atLeast"/>
    </w:pPr>
    <w:rPr>
      <w:rFonts w:ascii="Arial" w:hAnsi="Arial"/>
      <w:sz w:val="21"/>
      <w:lang w:eastAsia="en-US"/>
    </w:rPr>
  </w:style>
  <w:style w:type="paragraph" w:styleId="Heading1">
    <w:name w:val="heading 1"/>
    <w:next w:val="Body"/>
    <w:link w:val="Heading1Char"/>
    <w:uiPriority w:val="1"/>
    <w:qFormat/>
    <w:rsid w:val="00690D4A"/>
    <w:pPr>
      <w:keepNext/>
      <w:keepLines/>
      <w:spacing w:before="280" w:after="200" w:line="360" w:lineRule="atLeast"/>
      <w:outlineLvl w:val="0"/>
    </w:pPr>
    <w:rPr>
      <w:rFonts w:ascii="Arial" w:eastAsia="MS Gothic" w:hAnsi="Arial" w:cs="Arial"/>
      <w:bCs/>
      <w:color w:val="201547"/>
      <w:kern w:val="32"/>
      <w:sz w:val="32"/>
      <w:szCs w:val="40"/>
      <w:lang w:eastAsia="en-US"/>
    </w:rPr>
  </w:style>
  <w:style w:type="paragraph" w:styleId="Heading2">
    <w:name w:val="heading 2"/>
    <w:next w:val="Body"/>
    <w:link w:val="Heading2Char"/>
    <w:uiPriority w:val="1"/>
    <w:qFormat/>
    <w:rsid w:val="003D7E30"/>
    <w:pPr>
      <w:keepNext/>
      <w:keepLines/>
      <w:spacing w:before="28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1"/>
    <w:qFormat/>
    <w:rsid w:val="003D7E30"/>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1"/>
    <w:qFormat/>
    <w:rsid w:val="003D7E30"/>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8"/>
    <w:qFormat/>
    <w:rsid w:val="00B95AB9"/>
    <w:pPr>
      <w:keepNext/>
      <w:keepLines/>
      <w:spacing w:before="240" w:after="80" w:line="240" w:lineRule="atLeast"/>
      <w:outlineLvl w:val="4"/>
    </w:pPr>
    <w:rPr>
      <w:rFonts w:ascii="Arial" w:eastAsia="MS Mincho" w:hAnsi="Arial"/>
      <w:b/>
      <w:bCs/>
      <w:iCs/>
      <w:color w:val="201547"/>
      <w:sz w:val="21"/>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90D4A"/>
    <w:rPr>
      <w:rFonts w:ascii="Arial" w:eastAsia="MS Gothic" w:hAnsi="Arial" w:cs="Arial"/>
      <w:bCs/>
      <w:color w:val="201547"/>
      <w:kern w:val="32"/>
      <w:sz w:val="32"/>
      <w:szCs w:val="40"/>
      <w:lang w:eastAsia="en-US"/>
    </w:rPr>
  </w:style>
  <w:style w:type="character" w:customStyle="1" w:styleId="Heading2Char">
    <w:name w:val="Heading 2 Char"/>
    <w:link w:val="Heading2"/>
    <w:uiPriority w:val="1"/>
    <w:rsid w:val="003D7E30"/>
    <w:rPr>
      <w:rFonts w:ascii="Arial" w:hAnsi="Arial"/>
      <w:b/>
      <w:color w:val="201547"/>
      <w:sz w:val="32"/>
      <w:szCs w:val="28"/>
      <w:lang w:eastAsia="en-US"/>
    </w:rPr>
  </w:style>
  <w:style w:type="character" w:customStyle="1" w:styleId="Heading3Char">
    <w:name w:val="Heading 3 Char"/>
    <w:link w:val="Heading3"/>
    <w:uiPriority w:val="1"/>
    <w:rsid w:val="003D7E30"/>
    <w:rPr>
      <w:rFonts w:ascii="Arial" w:eastAsia="MS Gothic" w:hAnsi="Arial"/>
      <w:bCs/>
      <w:color w:val="201547"/>
      <w:sz w:val="28"/>
      <w:szCs w:val="26"/>
      <w:lang w:eastAsia="en-US"/>
    </w:rPr>
  </w:style>
  <w:style w:type="character" w:customStyle="1" w:styleId="Heading4Char">
    <w:name w:val="Heading 4 Char"/>
    <w:link w:val="Heading4"/>
    <w:uiPriority w:val="1"/>
    <w:rsid w:val="003D7E30"/>
    <w:rPr>
      <w:rFonts w:ascii="Arial" w:eastAsia="MS Mincho" w:hAnsi="Arial"/>
      <w:b/>
      <w:bCs/>
      <w:color w:val="201547"/>
      <w:sz w:val="24"/>
      <w:szCs w:val="22"/>
      <w:lang w:eastAsia="en-US"/>
    </w:rPr>
  </w:style>
  <w:style w:type="paragraph" w:styleId="Header">
    <w:name w:val="header"/>
    <w:uiPriority w:val="10"/>
    <w:rsid w:val="00593A99"/>
    <w:rPr>
      <w:rFonts w:ascii="Arial" w:hAnsi="Arial" w:cs="Arial"/>
      <w:b/>
      <w:color w:val="201547"/>
      <w:sz w:val="18"/>
      <w:szCs w:val="18"/>
      <w:lang w:eastAsia="en-US"/>
    </w:rPr>
  </w:style>
  <w:style w:type="paragraph" w:styleId="Footer">
    <w:name w:val="footer"/>
    <w:link w:val="FooterChar"/>
    <w:uiPriority w:val="99"/>
    <w:rsid w:val="00B84B6F"/>
    <w:rPr>
      <w:rFonts w:ascii="Arial" w:hAnsi="Arial" w:cs="Arial"/>
      <w:sz w:val="18"/>
      <w:szCs w:val="18"/>
      <w:vertAlign w:val="superscript"/>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33733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593A99"/>
    <w:pPr>
      <w:keepLines/>
      <w:tabs>
        <w:tab w:val="right" w:leader="dot" w:pos="10206"/>
      </w:tabs>
      <w:spacing w:before="160" w:after="60"/>
    </w:pPr>
    <w:rPr>
      <w:b/>
      <w:noProof/>
    </w:rPr>
  </w:style>
  <w:style w:type="character" w:customStyle="1" w:styleId="Heading5Char">
    <w:name w:val="Heading 5 Char"/>
    <w:link w:val="Heading5"/>
    <w:uiPriority w:val="98"/>
    <w:rsid w:val="00B95AB9"/>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before="360"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280C4B"/>
    <w:rPr>
      <w:rFonts w:ascii="Arial" w:hAnsi="Arial"/>
      <w:noProof/>
      <w:sz w:val="16"/>
      <w:szCs w:val="16"/>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6037B"/>
    <w:pPr>
      <w:spacing w:after="80" w:line="440" w:lineRule="atLeast"/>
    </w:pPr>
    <w:rPr>
      <w:rFonts w:ascii="Arial" w:hAnsi="Arial"/>
      <w:b/>
      <w:color w:val="201547"/>
      <w:sz w:val="40"/>
      <w:szCs w:val="4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FB5B4E"/>
    <w:pPr>
      <w:spacing w:before="12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33733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33733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337339"/>
    <w:pPr>
      <w:numPr>
        <w:numId w:val="9"/>
      </w:numPr>
    </w:pPr>
  </w:style>
  <w:style w:type="numbering" w:customStyle="1" w:styleId="ZZTablebullets">
    <w:name w:val="ZZ Table bullets"/>
    <w:basedOn w:val="NoList"/>
    <w:rsid w:val="00337339"/>
    <w:pPr>
      <w:numPr>
        <w:numId w:val="9"/>
      </w:numPr>
    </w:pPr>
  </w:style>
  <w:style w:type="paragraph" w:customStyle="1" w:styleId="Tablecolhead">
    <w:name w:val="Table col head"/>
    <w:uiPriority w:val="3"/>
    <w:qFormat/>
    <w:rsid w:val="00EB05D5"/>
    <w:pPr>
      <w:spacing w:before="80" w:after="60"/>
    </w:pPr>
    <w:rPr>
      <w:rFonts w:ascii="Arial" w:hAnsi="Arial"/>
      <w:b/>
      <w:color w:val="201547"/>
      <w:sz w:val="21"/>
      <w:lang w:eastAsia="en-US"/>
    </w:rPr>
  </w:style>
  <w:style w:type="paragraph" w:customStyle="1" w:styleId="Bulletafternumbers1">
    <w:name w:val="Bullet after numbers 1"/>
    <w:basedOn w:val="Body"/>
    <w:uiPriority w:val="4"/>
    <w:rsid w:val="003D7E30"/>
    <w:pPr>
      <w:numPr>
        <w:ilvl w:val="2"/>
        <w:numId w:val="3"/>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16037B"/>
    <w:pPr>
      <w:spacing w:after="100" w:line="360" w:lineRule="atLeast"/>
    </w:pPr>
    <w:rPr>
      <w:rFonts w:ascii="Arial" w:hAnsi="Arial"/>
      <w:color w:val="201547"/>
      <w:sz w:val="32"/>
      <w:szCs w:val="32"/>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337339"/>
    <w:pPr>
      <w:numPr>
        <w:numId w:val="7"/>
      </w:numPr>
    </w:pPr>
  </w:style>
  <w:style w:type="numbering" w:customStyle="1" w:styleId="ZZNumbersdigit">
    <w:name w:val="ZZ Numbers digit"/>
    <w:rsid w:val="003D7E30"/>
    <w:pPr>
      <w:numPr>
        <w:numId w:val="2"/>
      </w:numPr>
    </w:pPr>
  </w:style>
  <w:style w:type="numbering" w:customStyle="1" w:styleId="ZZQuotebullets">
    <w:name w:val="ZZ Quote bullets"/>
    <w:basedOn w:val="ZZNumbersdigit"/>
    <w:rsid w:val="00337339"/>
    <w:pPr>
      <w:numPr>
        <w:numId w:val="11"/>
      </w:numPr>
    </w:pPr>
  </w:style>
  <w:style w:type="paragraph" w:customStyle="1" w:styleId="Numberdigit">
    <w:name w:val="Number digit"/>
    <w:basedOn w:val="Body"/>
    <w:uiPriority w:val="2"/>
    <w:rsid w:val="003D7E30"/>
    <w:pPr>
      <w:numPr>
        <w:numId w:val="3"/>
      </w:numPr>
    </w:pPr>
  </w:style>
  <w:style w:type="paragraph" w:customStyle="1" w:styleId="Numberloweralphaindent">
    <w:name w:val="Number lower alpha indent"/>
    <w:basedOn w:val="Body"/>
    <w:uiPriority w:val="3"/>
    <w:rsid w:val="00337339"/>
    <w:pPr>
      <w:numPr>
        <w:ilvl w:val="1"/>
        <w:numId w:val="22"/>
      </w:numPr>
    </w:pPr>
  </w:style>
  <w:style w:type="paragraph" w:customStyle="1" w:styleId="Numberdigitindent">
    <w:name w:val="Number digit indent"/>
    <w:basedOn w:val="Body"/>
    <w:uiPriority w:val="3"/>
    <w:rsid w:val="003D7E30"/>
    <w:pPr>
      <w:numPr>
        <w:ilvl w:val="1"/>
        <w:numId w:val="3"/>
      </w:numPr>
    </w:pPr>
  </w:style>
  <w:style w:type="paragraph" w:customStyle="1" w:styleId="Numberloweralpha">
    <w:name w:val="Number lower alpha"/>
    <w:basedOn w:val="Body"/>
    <w:uiPriority w:val="3"/>
    <w:rsid w:val="00337339"/>
    <w:pPr>
      <w:numPr>
        <w:numId w:val="22"/>
      </w:numPr>
    </w:pPr>
  </w:style>
  <w:style w:type="paragraph" w:customStyle="1" w:styleId="Numberlowerroman">
    <w:name w:val="Number lower roman"/>
    <w:basedOn w:val="Body"/>
    <w:uiPriority w:val="3"/>
    <w:rsid w:val="00337339"/>
    <w:pPr>
      <w:numPr>
        <w:numId w:val="13"/>
      </w:numPr>
    </w:pPr>
  </w:style>
  <w:style w:type="paragraph" w:customStyle="1" w:styleId="Numberlowerromanindent">
    <w:name w:val="Number lower roman indent"/>
    <w:basedOn w:val="Body"/>
    <w:uiPriority w:val="3"/>
    <w:rsid w:val="00337339"/>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3D7E30"/>
    <w:pPr>
      <w:numPr>
        <w:ilvl w:val="3"/>
        <w:numId w:val="3"/>
      </w:numPr>
    </w:pPr>
  </w:style>
  <w:style w:type="numbering" w:customStyle="1" w:styleId="ZZNumberslowerroman">
    <w:name w:val="ZZ Numbers lower roman"/>
    <w:basedOn w:val="ZZQuotebullets"/>
    <w:rsid w:val="00337339"/>
    <w:pPr>
      <w:numPr>
        <w:numId w:val="13"/>
      </w:numPr>
    </w:pPr>
  </w:style>
  <w:style w:type="numbering" w:customStyle="1" w:styleId="ZZNumbersloweralpha">
    <w:name w:val="ZZ Numbers lower alpha"/>
    <w:basedOn w:val="NoList"/>
    <w:rsid w:val="00337339"/>
    <w:pPr>
      <w:numPr>
        <w:numId w:val="20"/>
      </w:numPr>
    </w:pPr>
  </w:style>
  <w:style w:type="paragraph" w:customStyle="1" w:styleId="Quotebullet1">
    <w:name w:val="Quote bullet 1"/>
    <w:basedOn w:val="Quotetext"/>
    <w:rsid w:val="00337339"/>
    <w:pPr>
      <w:numPr>
        <w:numId w:val="11"/>
      </w:numPr>
    </w:pPr>
  </w:style>
  <w:style w:type="paragraph" w:customStyle="1" w:styleId="Quotebullet2">
    <w:name w:val="Quote bullet 2"/>
    <w:basedOn w:val="Quotetext"/>
    <w:rsid w:val="0033733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FB5B4E"/>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FB5B4E"/>
    <w:pPr>
      <w:spacing w:after="60" w:line="270" w:lineRule="atLeast"/>
    </w:pPr>
    <w:rPr>
      <w:sz w:val="20"/>
    </w:rPr>
  </w:style>
  <w:style w:type="paragraph" w:customStyle="1" w:styleId="Introtext">
    <w:name w:val="Intro text"/>
    <w:basedOn w:val="Body"/>
    <w:uiPriority w:val="11"/>
    <w:rsid w:val="008A5D60"/>
    <w:pPr>
      <w:spacing w:line="320" w:lineRule="atLeast"/>
    </w:pPr>
    <w:rPr>
      <w:color w:val="201547"/>
      <w:sz w:val="24"/>
    </w:rPr>
  </w:style>
  <w:style w:type="paragraph" w:customStyle="1" w:styleId="StyleTabletextRight">
    <w:name w:val="Style Table text + Right"/>
    <w:basedOn w:val="Tabletext"/>
    <w:rsid w:val="00655339"/>
    <w:pPr>
      <w:jc w:val="right"/>
    </w:pPr>
  </w:style>
  <w:style w:type="character" w:styleId="Mention">
    <w:name w:val="Mention"/>
    <w:basedOn w:val="DefaultParagraphFont"/>
    <w:uiPriority w:val="99"/>
    <w:unhideWhenUsed/>
    <w:rsid w:val="00AE4B97"/>
    <w:rPr>
      <w:color w:val="2B579A"/>
      <w:shd w:val="clear" w:color="auto" w:fill="E1DFDD"/>
    </w:rPr>
  </w:style>
  <w:style w:type="character" w:customStyle="1" w:styleId="FooterChar">
    <w:name w:val="Footer Char"/>
    <w:basedOn w:val="DefaultParagraphFont"/>
    <w:link w:val="Footer"/>
    <w:uiPriority w:val="99"/>
    <w:rsid w:val="00B84B6F"/>
    <w:rPr>
      <w:rFonts w:ascii="Arial" w:hAnsi="Arial" w:cs="Arial"/>
      <w:sz w:val="18"/>
      <w:szCs w:val="18"/>
      <w:vertAlign w:val="superscrip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performance.data@dffh.vic.gov.au"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file:///C:/Users/mrya1810/AppData/Local/Microsoft/Windows/INetCache/Content.Outlook/RFNNV8WA/Additional%20quarterly%20data%20operational%20perform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DF8538E20725164D82A104E09F6F1C51" ma:contentTypeVersion="45" ma:contentTypeDescription="" ma:contentTypeScope="" ma:versionID="9e7749db0c780a870dba67b1189e2aae">
  <xsd:schema xmlns:xsd="http://www.w3.org/2001/XMLSchema" xmlns:xs="http://www.w3.org/2001/XMLSchema" xmlns:p="http://schemas.microsoft.com/office/2006/metadata/properties" xmlns:ns1="http://schemas.microsoft.com/sharepoint/v3" xmlns:ns2="59098f23-3ca6-4eec-8c4e-6f77ceae2d9e" xmlns:ns3="131e7afd-8cb4-4255-a884-cbcde2747e4c" xmlns:ns4="9bb0acc9-d7bd-4cdf-ad2b-ac1699117d04" xmlns:ns5="4e6cfa50-9814-4036-b2f8-54bb7ef1e7f8" xmlns:ns6="http://schemas.microsoft.com/sharepoint/v4" xmlns:ns7="5ce0f2b5-5be5-4508-bce9-d7011ece0659" targetNamespace="http://schemas.microsoft.com/office/2006/metadata/properties" ma:root="true" ma:fieldsID="c3f0ca0bc8efd34ebd5ab2fb146bee01" ns1:_="" ns2:_="" ns3:_="" ns4:_="" ns5:_="" ns6:_="" ns7:_="">
    <xsd:import namespace="http://schemas.microsoft.com/sharepoint/v3"/>
    <xsd:import namespace="59098f23-3ca6-4eec-8c4e-6f77ceae2d9e"/>
    <xsd:import namespace="131e7afd-8cb4-4255-a884-cbcde2747e4c"/>
    <xsd:import namespace="9bb0acc9-d7bd-4cdf-ad2b-ac1699117d04"/>
    <xsd:import namespace="4e6cfa50-9814-4036-b2f8-54bb7ef1e7f8"/>
    <xsd:import namespace="http://schemas.microsoft.com/sharepoint/v4"/>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Briefing" minOccurs="0"/>
                <xsd:element ref="ns5:RecordStatus"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2:SharedWithUsers" minOccurs="0"/>
                <xsd:element ref="ns2:SharedWithDetails" minOccurs="0"/>
                <xsd:element ref="ns4:MediaServiceDateTaken" minOccurs="0"/>
                <xsd:element ref="ns4:MediaLengthInSeconds" minOccurs="0"/>
                <xsd:element ref="ns4:MediaServiceLocation" minOccurs="0"/>
                <xsd:element ref="ns6:IconOverlay" minOccurs="0"/>
                <xsd:element ref="ns1:_vti_ItemDeclaredRecord" minOccurs="0"/>
                <xsd:element ref="ns1:_vti_ItemHoldRecordStatus" minOccurs="0"/>
                <xsd:element ref="ns7:TaxCatchAll" minOccurs="0"/>
                <xsd:element ref="ns4:MediaServiceMetadata"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1" nillable="true" ma:displayName="Declared Record" ma:hidden="true" ma:internalName="_vti_ItemDeclaredRecord" ma:readOnly="true">
      <xsd:simpleType>
        <xsd:restriction base="dms:DateTime"/>
      </xsd:simpleType>
    </xsd:element>
    <xsd:element name="_vti_ItemHoldRecordStatus" ma:index="32"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b0acc9-d7bd-4cdf-ad2b-ac1699117d04" elementFormDefault="qualified">
    <xsd:import namespace="http://schemas.microsoft.com/office/2006/documentManagement/types"/>
    <xsd:import namespace="http://schemas.microsoft.com/office/infopath/2007/PartnerControls"/>
    <xsd:element name="Update_x0020_File_x0020_Name_x0020_Briefing" ma:index="16" nillable="true" ma:displayName="Update File Name Briefing" ma:internalName="Update_x0020_File_x0020_Name_x0020_Briefing">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MediaServiceLocation" ma:index="29" nillable="true" ma:displayName="Location" ma:internalName="MediaServiceLocation" ma:readOnly="true">
      <xsd:simpleType>
        <xsd:restriction base="dms:Text"/>
      </xsd:simpleType>
    </xsd:element>
    <xsd:element name="MediaServiceMetadata" ma:index="34" nillable="true" ma:displayName="MediaServiceMetadata" ma:hidden="true" ma:internalName="MediaServiceMetadata"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RequestID xmlns="131e7afd-8cb4-4255-a884-cbcde2747e4c" xsi:nil="true"/>
    <CBSFileName xmlns="59098f23-3ca6-4eec-8c4e-6f77ceae2d9e">Attachment 1 - 2022-2023-Child-Protection-and-Family-Services-performance-for-selected-measures-quarter-4 </CBSFileName>
    <CBSDocType xmlns="59098f23-3ca6-4eec-8c4e-6f77ceae2d9e" xsi:nil="true"/>
    <IconOverlay xmlns="http://schemas.microsoft.com/sharepoint/v4" xsi:nil="true"/>
    <RecordStatus xmlns="4e6cfa50-9814-4036-b2f8-54bb7ef1e7f8" xsi:nil="true"/>
    <CBSStatus xmlns="59098f23-3ca6-4eec-8c4e-6f77ceae2d9e">Finalised</CBSStatus>
    <Update_x0020_File_x0020_Name_x0020_Briefing xmlns="9bb0acc9-d7bd-4cdf-ad2b-ac1699117d04">
      <Url xsi:nil="true"/>
      <Description xsi:nil="true"/>
    </Update_x0020_File_x0020_Name_x0020_Briefing>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A2F14926-5187-48F4-804F-26DE537973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9098f23-3ca6-4eec-8c4e-6f77ceae2d9e"/>
    <ds:schemaRef ds:uri="131e7afd-8cb4-4255-a884-cbcde2747e4c"/>
    <ds:schemaRef ds:uri="9bb0acc9-d7bd-4cdf-ad2b-ac1699117d04"/>
    <ds:schemaRef ds:uri="4e6cfa50-9814-4036-b2f8-54bb7ef1e7f8"/>
    <ds:schemaRef ds:uri="http://schemas.microsoft.com/sharepoint/v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59098f23-3ca6-4eec-8c4e-6f77ceae2d9e"/>
    <ds:schemaRef ds:uri="5ce0f2b5-5be5-4508-bce9-d7011ece0659"/>
    <ds:schemaRef ds:uri="http://purl.org/dc/terms/"/>
    <ds:schemaRef ds:uri="131e7afd-8cb4-4255-a884-cbcde2747e4c"/>
    <ds:schemaRef ds:uri="http://schemas.microsoft.com/office/2006/metadata/properties"/>
    <ds:schemaRef ds:uri="http://schemas.microsoft.com/office/2006/documentManagement/types"/>
    <ds:schemaRef ds:uri="4e6cfa50-9814-4036-b2f8-54bb7ef1e7f8"/>
    <ds:schemaRef ds:uri="http://schemas.microsoft.com/sharepoint/v3"/>
    <ds:schemaRef ds:uri="http://schemas.microsoft.com/sharepoint/v4"/>
    <ds:schemaRef ds:uri="http://purl.org/dc/elements/1.1/"/>
    <ds:schemaRef ds:uri="http://schemas.openxmlformats.org/package/2006/metadata/core-properties"/>
    <ds:schemaRef ds:uri="http://purl.org/dc/dcmitype/"/>
    <ds:schemaRef ds:uri="http://schemas.microsoft.com/office/infopath/2007/PartnerControls"/>
    <ds:schemaRef ds:uri="9bb0acc9-d7bd-4cdf-ad2b-ac1699117d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2037</Words>
  <Characters>11616</Characters>
  <Application>Microsoft Office Word</Application>
  <DocSecurity>4</DocSecurity>
  <Lines>96</Lines>
  <Paragraphs>27</Paragraphs>
  <ScaleCrop>false</ScaleCrop>
  <Manager/>
  <Company>Victoria State Government, Department of Families, Fairness and Housing</Company>
  <LinksUpToDate>false</LinksUpToDate>
  <CharactersWithSpaces>13626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for selected measures Quarter 3, 2022–23 financial year Child Protection and Family Services  </dc:title>
  <dc:subject>Performance for selected measures Child Protection and Family Services  </dc:subject>
  <dc:creator>Child Protection and Family Services</dc:creator>
  <cp:keywords>Child Protection, Family Services, performance, quarter 3, 2022–2023</cp:keywords>
  <dc:description/>
  <cp:lastModifiedBy>Reuben Myers (DFFH)</cp:lastModifiedBy>
  <cp:revision>2</cp:revision>
  <cp:lastPrinted>2021-01-30T00:27:00Z</cp:lastPrinted>
  <dcterms:created xsi:type="dcterms:W3CDTF">2023-09-04T22:58:00Z</dcterms:created>
  <dcterms:modified xsi:type="dcterms:W3CDTF">2023-09-04T22:58:00Z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0x010100A5FD4705EF695745935DCFF362D96FD900DF8538E20725164D82A104E09F6F1C51</vt:lpwstr>
  </property>
  <property fmtid="{D5CDD505-2E9C-101B-9397-08002B2CF9AE}" pid="4" name="version">
    <vt:lpwstr>2022v1 15032022</vt:lpwstr>
  </property>
  <property fmtid="{D5CDD505-2E9C-101B-9397-08002B2CF9AE}" pid="5" name="O365portals">
    <vt:lpwstr>https://dhhsvicgovau.sharepoint.com/:w:/s/dffh/Ed1G_4r4BHNHgqOGDkeMWhcB0Lm5z1k7mSu1dsrFHD18Fg?e=GtzvTT, DFFH A4 portrait factsheet Teal (O365)</vt:lpwstr>
  </property>
  <property fmtid="{D5CDD505-2E9C-101B-9397-08002B2CF9AE}" pid="6" name="xd_ProgID">
    <vt:lpwstr/>
  </property>
  <property fmtid="{D5CDD505-2E9C-101B-9397-08002B2CF9AE}" pid="7" name="Daysbeforethenextreview">
    <vt:i4>365</vt:i4>
  </property>
  <property fmtid="{D5CDD505-2E9C-101B-9397-08002B2CF9AE}" pid="8" name="ComplianceAssetId">
    <vt:lpwstr/>
  </property>
  <property fmtid="{D5CDD505-2E9C-101B-9397-08002B2CF9AE}" pid="9" name="TemplateUrl">
    <vt:lpwstr/>
  </property>
  <property fmtid="{D5CDD505-2E9C-101B-9397-08002B2CF9AE}" pid="10" name="Format">
    <vt:lpwstr>Factsheet</vt:lpwstr>
  </property>
  <property fmtid="{D5CDD505-2E9C-101B-9397-08002B2CF9AE}" pid="11" name="Style">
    <vt:lpwstr>Visual style</vt:lpwstr>
  </property>
  <property fmtid="{D5CDD505-2E9C-101B-9397-08002B2CF9AE}" pid="12" name="TemplateVersion">
    <vt:i4>1</vt:i4>
  </property>
  <property fmtid="{D5CDD505-2E9C-101B-9397-08002B2CF9AE}" pid="13" name="Hyperlink Base">
    <vt:lpwstr>https://dhhsvicgovau.sharepoint.com/:w:/s/dffh/ERru7sG4VvdIqrUpHqYgLGkBTVDvDkt3EhVEUNuHeoMhgw</vt:lpwstr>
  </property>
  <property fmtid="{D5CDD505-2E9C-101B-9397-08002B2CF9AE}" pid="14" name="Link">
    <vt:lpwstr>https://dhhsvicgovau.sharepoint.com/:w:/s/dffh/ERru7sG4VvdIqrUpHqYgLGkBTVDvDkt3EhVEUNuHeoMhgw, https://dhhsvicgovau.sharepoint.com/:w:/s/dffh/ERru7sG4VvdIqrUpHqYgLGkBTVDvDkt3EhVEUNuHeoMhgw</vt:lpwstr>
  </property>
  <property fmtid="{D5CDD505-2E9C-101B-9397-08002B2CF9AE}" pid="15" name="xd_Signature">
    <vt:bool>false</vt:bool>
  </property>
  <property fmtid="{D5CDD505-2E9C-101B-9397-08002B2CF9AE}" pid="16" name="MediaServiceImageTags">
    <vt:lpwstr/>
  </property>
  <property fmtid="{D5CDD505-2E9C-101B-9397-08002B2CF9AE}" pid="17" name="GrammarlyDocumentId">
    <vt:lpwstr>4640572e410c117fc2c399f723acadade0d8dbfc76bd999f18994ddded9ab419</vt:lpwstr>
  </property>
  <property fmtid="{D5CDD505-2E9C-101B-9397-08002B2CF9AE}" pid="18" name="lcf76f155ced4ddcb4097134ff3c332f">
    <vt:lpwstr/>
  </property>
  <property fmtid="{D5CDD505-2E9C-101B-9397-08002B2CF9AE}" pid="19" name="MSIP_Label_43e64453-338c-4f93-8a4d-0039a0a41f2a_Enabled">
    <vt:lpwstr>true</vt:lpwstr>
  </property>
  <property fmtid="{D5CDD505-2E9C-101B-9397-08002B2CF9AE}" pid="20" name="MSIP_Label_43e64453-338c-4f93-8a4d-0039a0a41f2a_SetDate">
    <vt:lpwstr>2023-09-04T22:58:39Z</vt:lpwstr>
  </property>
  <property fmtid="{D5CDD505-2E9C-101B-9397-08002B2CF9AE}" pid="21" name="MSIP_Label_43e64453-338c-4f93-8a4d-0039a0a41f2a_Method">
    <vt:lpwstr>Privileged</vt:lpwstr>
  </property>
  <property fmtid="{D5CDD505-2E9C-101B-9397-08002B2CF9AE}" pid="22" name="MSIP_Label_43e64453-338c-4f93-8a4d-0039a0a41f2a_Name">
    <vt:lpwstr>43e64453-338c-4f93-8a4d-0039a0a41f2a</vt:lpwstr>
  </property>
  <property fmtid="{D5CDD505-2E9C-101B-9397-08002B2CF9AE}" pid="23" name="MSIP_Label_43e64453-338c-4f93-8a4d-0039a0a41f2a_SiteId">
    <vt:lpwstr>c0e0601f-0fac-449c-9c88-a104c4eb9f28</vt:lpwstr>
  </property>
  <property fmtid="{D5CDD505-2E9C-101B-9397-08002B2CF9AE}" pid="24" name="MSIP_Label_43e64453-338c-4f93-8a4d-0039a0a41f2a_ActionId">
    <vt:lpwstr>b540ab96-35b1-48b1-a6e9-0e15969547f0</vt:lpwstr>
  </property>
  <property fmtid="{D5CDD505-2E9C-101B-9397-08002B2CF9AE}" pid="25" name="MSIP_Label_43e64453-338c-4f93-8a4d-0039a0a41f2a_ContentBits">
    <vt:lpwstr>2</vt:lpwstr>
  </property>
</Properties>
</file>